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4B7D" w14:textId="418230DE" w:rsidR="00164916" w:rsidRPr="00E60505" w:rsidRDefault="00164916" w:rsidP="000B334F">
      <w:pPr>
        <w:spacing w:line="276" w:lineRule="auto"/>
        <w:ind w:right="128"/>
        <w:rPr>
          <w:rFonts w:asciiTheme="majorHAnsi" w:hAnsiTheme="majorHAnsi"/>
          <w:b/>
          <w:sz w:val="16"/>
          <w:szCs w:val="16"/>
        </w:rPr>
        <w:sectPr w:rsidR="00164916" w:rsidRPr="00E60505" w:rsidSect="00CB1345">
          <w:headerReference w:type="even" r:id="rId8"/>
          <w:headerReference w:type="default" r:id="rId9"/>
          <w:footerReference w:type="even" r:id="rId10"/>
          <w:footerReference w:type="default" r:id="rId11"/>
          <w:type w:val="continuous"/>
          <w:pgSz w:w="11910" w:h="15880"/>
          <w:pgMar w:top="760" w:right="743" w:bottom="278" w:left="760" w:header="720" w:footer="720" w:gutter="0"/>
          <w:cols w:num="2" w:space="720" w:equalWidth="0">
            <w:col w:w="5933" w:space="520"/>
            <w:col w:w="3954"/>
          </w:cols>
        </w:sectPr>
      </w:pPr>
    </w:p>
    <w:p w14:paraId="29DC3439" w14:textId="77777777" w:rsidR="002F2802" w:rsidRPr="002F2802" w:rsidRDefault="002F2802" w:rsidP="002F2802">
      <w:pPr>
        <w:jc w:val="center"/>
        <w:rPr>
          <w:rFonts w:asciiTheme="majorHAnsi" w:hAnsiTheme="majorHAnsi"/>
          <w:sz w:val="36"/>
          <w:szCs w:val="36"/>
        </w:rPr>
      </w:pPr>
      <w:r w:rsidRPr="002F2802">
        <w:rPr>
          <w:rFonts w:asciiTheme="majorHAnsi" w:hAnsiTheme="majorHAnsi"/>
          <w:sz w:val="36"/>
          <w:szCs w:val="36"/>
        </w:rPr>
        <w:t>Picky Eating among Indonesian Preschoolers: Associations with Feeding Practices, Caregiver Type, Health and Nutritional Status</w:t>
      </w:r>
    </w:p>
    <w:p w14:paraId="7B6C2E46" w14:textId="77777777" w:rsidR="00B317DC" w:rsidRDefault="00B317DC" w:rsidP="002F2802">
      <w:pPr>
        <w:pStyle w:val="BodyText"/>
        <w:spacing w:line="276" w:lineRule="auto"/>
        <w:jc w:val="center"/>
        <w:rPr>
          <w:sz w:val="18"/>
        </w:rPr>
      </w:pPr>
    </w:p>
    <w:p w14:paraId="20C9A60E" w14:textId="77777777" w:rsidR="00164916" w:rsidRDefault="00164916" w:rsidP="000B334F">
      <w:pPr>
        <w:pStyle w:val="BodyText"/>
        <w:spacing w:line="276" w:lineRule="auto"/>
        <w:rPr>
          <w:sz w:val="18"/>
        </w:rPr>
      </w:pPr>
    </w:p>
    <w:p w14:paraId="00B918D4" w14:textId="6F0DFE88" w:rsidR="00AE1856" w:rsidRPr="00AE1856" w:rsidRDefault="007E690D" w:rsidP="000B334F">
      <w:pPr>
        <w:spacing w:line="276" w:lineRule="auto"/>
        <w:ind w:left="130"/>
        <w:rPr>
          <w:rFonts w:ascii="Arial Narrow"/>
          <w:b/>
          <w:sz w:val="18"/>
        </w:rPr>
      </w:pPr>
      <w:r>
        <w:rPr>
          <w:rFonts w:ascii="Arial Narrow"/>
          <w:b/>
          <w:color w:val="231F20"/>
          <w:spacing w:val="-2"/>
          <w:sz w:val="18"/>
        </w:rPr>
        <w:t>Abstract</w:t>
      </w:r>
      <w:r w:rsidR="00AE1856">
        <w:rPr>
          <w:rFonts w:ascii="Arial Narrow"/>
          <w:b/>
          <w:sz w:val="18"/>
        </w:rPr>
        <w:t xml:space="preserve"> </w:t>
      </w:r>
      <w:r w:rsidR="00AE1856" w:rsidRPr="002E068A">
        <w:rPr>
          <w:rFonts w:ascii="Arial Narrow" w:hAnsi="Arial Narrow"/>
          <w:color w:val="231F20"/>
          <w:sz w:val="18"/>
          <w:highlight w:val="darkGray"/>
        </w:rPr>
        <w:t>(</w:t>
      </w:r>
      <w:r w:rsidR="002E068A" w:rsidRPr="002E068A">
        <w:rPr>
          <w:rFonts w:ascii="Arial Narrow" w:hAnsi="Arial Narrow"/>
          <w:color w:val="231F20"/>
          <w:sz w:val="18"/>
          <w:highlight w:val="darkGray"/>
        </w:rPr>
        <w:t xml:space="preserve">Max 200 words including five keywords, </w:t>
      </w:r>
      <w:r w:rsidR="00AE1856" w:rsidRPr="002E068A">
        <w:rPr>
          <w:rFonts w:ascii="Arial Narrow" w:hAnsi="Arial Narrow"/>
          <w:color w:val="231F20"/>
          <w:sz w:val="18"/>
          <w:highlight w:val="darkGray"/>
        </w:rPr>
        <w:t xml:space="preserve">Arial Narrow, </w:t>
      </w:r>
      <w:r w:rsidR="002E068A" w:rsidRPr="002E068A">
        <w:rPr>
          <w:rFonts w:ascii="Arial Narrow" w:hAnsi="Arial Narrow"/>
          <w:color w:val="231F20"/>
          <w:sz w:val="18"/>
          <w:highlight w:val="darkGray"/>
        </w:rPr>
        <w:t>9pt</w:t>
      </w:r>
      <w:r w:rsidR="00AE1856" w:rsidRPr="002E068A">
        <w:rPr>
          <w:rFonts w:ascii="Arial Narrow" w:hAnsi="Arial Narrow"/>
          <w:color w:val="231F20"/>
          <w:sz w:val="18"/>
          <w:highlight w:val="darkGray"/>
        </w:rPr>
        <w:t>)</w:t>
      </w:r>
    </w:p>
    <w:p w14:paraId="38DF152C" w14:textId="65B8D831" w:rsidR="006242B5" w:rsidRPr="006242B5" w:rsidRDefault="006242B5" w:rsidP="006242B5">
      <w:pPr>
        <w:ind w:left="142"/>
        <w:jc w:val="both"/>
        <w:rPr>
          <w:rFonts w:ascii="Arial Narrow" w:hAnsi="Arial Narrow"/>
          <w:sz w:val="18"/>
          <w:szCs w:val="18"/>
        </w:rPr>
      </w:pPr>
      <w:r w:rsidRPr="006242B5">
        <w:rPr>
          <w:rFonts w:ascii="Arial Narrow" w:hAnsi="Arial Narrow"/>
          <w:sz w:val="18"/>
          <w:szCs w:val="18"/>
        </w:rPr>
        <w:t xml:space="preserve">Picky eating is a common concern in early childhood and is believed to be influenced by family feeding behavior and health-related factors. This study aimed to examine the relationship between picky eating, feeding practices, caregiver type, nutritional status, and medical conditions in Indonesian preschool children. A cross-sectional online survey was conducted among parents of children aged </w:t>
      </w:r>
      <w:r w:rsidR="00ED5F3B">
        <w:rPr>
          <w:rFonts w:ascii="Arial Narrow" w:hAnsi="Arial Narrow"/>
          <w:sz w:val="18"/>
          <w:szCs w:val="18"/>
        </w:rPr>
        <w:t>3-6</w:t>
      </w:r>
      <w:r w:rsidRPr="006242B5">
        <w:rPr>
          <w:rFonts w:ascii="Arial Narrow" w:hAnsi="Arial Narrow"/>
          <w:sz w:val="18"/>
          <w:szCs w:val="18"/>
        </w:rPr>
        <w:t xml:space="preserve"> years across </w:t>
      </w:r>
      <w:r w:rsidR="00ED5F3B">
        <w:rPr>
          <w:rFonts w:ascii="Arial Narrow" w:hAnsi="Arial Narrow"/>
          <w:sz w:val="18"/>
          <w:szCs w:val="18"/>
        </w:rPr>
        <w:t>3</w:t>
      </w:r>
      <w:r w:rsidRPr="006242B5">
        <w:rPr>
          <w:rFonts w:ascii="Arial Narrow" w:hAnsi="Arial Narrow"/>
          <w:sz w:val="18"/>
          <w:szCs w:val="18"/>
        </w:rPr>
        <w:t xml:space="preserve">8 provinces in Indonesia. A total of 325 complete responses were analyzed. Picky eating was identified using a standardized child eating behavior questionnaire. Feeding practices, caregiver type, constipation, and infection history were reported by parents. Nutritional status was assessed from parent-reported height and weight, followed by calculation of body mass index for age z-score. Statistical analysis was carried out to compare children with and without picky eating. The prevalence of picky eating was 14.8 percent. There were no meaningful differences in nutritional status, feeding practices, caregiver type, constipation, or infection history between the two groups. No variable showed a significant association in multivariate analysis. In conclusion, picky eating occurred among Indonesian preschool children, but it was not associated with feeding behavior, caregiver type, nutritional status, or recent illness. </w:t>
      </w:r>
    </w:p>
    <w:p w14:paraId="0A231E42" w14:textId="77777777" w:rsidR="00B317DC" w:rsidRPr="000B334F" w:rsidRDefault="00B317DC" w:rsidP="000B334F">
      <w:pPr>
        <w:pStyle w:val="BodyText"/>
        <w:spacing w:line="276" w:lineRule="auto"/>
        <w:rPr>
          <w:rFonts w:asciiTheme="majorHAnsi" w:hAnsiTheme="majorHAnsi"/>
        </w:rPr>
      </w:pPr>
    </w:p>
    <w:p w14:paraId="202E2F47" w14:textId="4A809C6B" w:rsidR="00ED5F3B" w:rsidRPr="00ED5F3B" w:rsidRDefault="007E690D" w:rsidP="00ED5F3B">
      <w:pPr>
        <w:ind w:firstLine="142"/>
        <w:rPr>
          <w:rFonts w:ascii="Arial Narrow" w:eastAsiaTheme="minorHAnsi" w:hAnsi="Arial Narrow" w:cs="Arial"/>
          <w:bCs/>
        </w:rPr>
      </w:pPr>
      <w:r>
        <w:rPr>
          <w:rFonts w:ascii="Arial Narrow"/>
          <w:b/>
          <w:color w:val="231F20"/>
          <w:sz w:val="18"/>
        </w:rPr>
        <w:t>Keywords</w:t>
      </w:r>
      <w:r>
        <w:rPr>
          <w:rFonts w:ascii="Arial Narrow"/>
          <w:color w:val="231F20"/>
          <w:sz w:val="18"/>
        </w:rPr>
        <w:t>:</w:t>
      </w:r>
      <w:r>
        <w:rPr>
          <w:rFonts w:ascii="Arial Narrow"/>
          <w:color w:val="231F20"/>
          <w:spacing w:val="-5"/>
          <w:sz w:val="18"/>
        </w:rPr>
        <w:t xml:space="preserve"> </w:t>
      </w:r>
      <w:r w:rsidR="00ED5F3B" w:rsidRPr="00ED5F3B">
        <w:rPr>
          <w:rFonts w:ascii="Arial Narrow" w:eastAsia="Times New Roman" w:hAnsi="Arial Narrow" w:cs="Arial"/>
          <w:bCs/>
          <w:sz w:val="18"/>
          <w:szCs w:val="18"/>
          <w:lang w:eastAsia="en-ID"/>
        </w:rPr>
        <w:t>Picky Eating</w:t>
      </w:r>
      <w:r w:rsidR="00ED5F3B">
        <w:rPr>
          <w:rFonts w:ascii="Arial Narrow" w:eastAsia="Times New Roman" w:hAnsi="Arial Narrow" w:cs="Arial"/>
          <w:bCs/>
          <w:sz w:val="18"/>
          <w:szCs w:val="18"/>
          <w:lang w:eastAsia="en-ID"/>
        </w:rPr>
        <w:t xml:space="preserve">, </w:t>
      </w:r>
      <w:r w:rsidR="00ED5F3B" w:rsidRPr="00ED5F3B">
        <w:rPr>
          <w:rFonts w:ascii="Arial Narrow" w:hAnsi="Arial Narrow" w:cs="Arial"/>
          <w:bCs/>
          <w:sz w:val="18"/>
          <w:szCs w:val="18"/>
        </w:rPr>
        <w:t>Feeding Practices</w:t>
      </w:r>
      <w:r w:rsidR="00ED5F3B">
        <w:rPr>
          <w:rFonts w:ascii="Arial Narrow" w:hAnsi="Arial Narrow" w:cs="Arial"/>
          <w:bCs/>
          <w:sz w:val="18"/>
          <w:szCs w:val="18"/>
        </w:rPr>
        <w:t xml:space="preserve">, </w:t>
      </w:r>
      <w:r w:rsidR="00ED5F3B" w:rsidRPr="00ED5F3B">
        <w:rPr>
          <w:rFonts w:ascii="Arial Narrow" w:hAnsi="Arial Narrow" w:cs="Arial"/>
          <w:bCs/>
          <w:sz w:val="18"/>
          <w:szCs w:val="18"/>
        </w:rPr>
        <w:t>Caregiver Type, Health</w:t>
      </w:r>
      <w:r w:rsidR="00ED5F3B">
        <w:rPr>
          <w:rFonts w:ascii="Arial Narrow" w:hAnsi="Arial Narrow" w:cs="Arial"/>
          <w:bCs/>
          <w:sz w:val="18"/>
          <w:szCs w:val="18"/>
        </w:rPr>
        <w:t xml:space="preserve">, </w:t>
      </w:r>
      <w:r w:rsidR="00ED5F3B" w:rsidRPr="00ED5F3B">
        <w:rPr>
          <w:rFonts w:ascii="Arial Narrow" w:hAnsi="Arial Narrow" w:cs="Arial"/>
          <w:bCs/>
          <w:sz w:val="18"/>
          <w:szCs w:val="18"/>
        </w:rPr>
        <w:t>Nutritional Status</w:t>
      </w:r>
    </w:p>
    <w:p w14:paraId="31BF9669" w14:textId="26D87BE1" w:rsidR="00164916" w:rsidRDefault="00164916" w:rsidP="000B334F">
      <w:pPr>
        <w:spacing w:line="276" w:lineRule="auto"/>
        <w:ind w:left="130"/>
        <w:rPr>
          <w:rFonts w:ascii="Arial Narrow"/>
          <w:sz w:val="18"/>
        </w:rPr>
      </w:pPr>
    </w:p>
    <w:p w14:paraId="6F3F1A63" w14:textId="77777777" w:rsidR="007A3B11" w:rsidRPr="003C49F9" w:rsidRDefault="007A3B11" w:rsidP="000B334F">
      <w:pPr>
        <w:pStyle w:val="Heading1"/>
        <w:spacing w:line="276" w:lineRule="auto"/>
        <w:ind w:left="0"/>
        <w:rPr>
          <w:rFonts w:asciiTheme="majorHAnsi" w:hAnsiTheme="majorHAnsi"/>
          <w:color w:val="231F20"/>
          <w:spacing w:val="-2"/>
        </w:rPr>
      </w:pPr>
    </w:p>
    <w:p w14:paraId="1B5F58EE" w14:textId="5F88089A" w:rsidR="00164916" w:rsidRPr="002E068A" w:rsidRDefault="007E690D" w:rsidP="000B334F">
      <w:pPr>
        <w:pStyle w:val="Heading1"/>
        <w:spacing w:line="276" w:lineRule="auto"/>
        <w:rPr>
          <w:rFonts w:asciiTheme="majorHAnsi" w:hAnsiTheme="majorHAnsi"/>
        </w:rPr>
      </w:pPr>
      <w:r w:rsidRPr="002E068A">
        <w:rPr>
          <w:rFonts w:asciiTheme="majorHAnsi" w:hAnsiTheme="majorHAnsi"/>
          <w:color w:val="231F20"/>
          <w:spacing w:val="-2"/>
        </w:rPr>
        <w:t>Introduction</w:t>
      </w:r>
      <w:r w:rsidR="00AE1856" w:rsidRPr="002E068A">
        <w:rPr>
          <w:rFonts w:asciiTheme="majorHAnsi" w:hAnsiTheme="majorHAnsi"/>
          <w:color w:val="231F20"/>
          <w:spacing w:val="-2"/>
        </w:rPr>
        <w:t xml:space="preserve"> </w:t>
      </w:r>
      <w:r w:rsidR="00AE1856" w:rsidRPr="007C42AF">
        <w:rPr>
          <w:rFonts w:asciiTheme="majorHAnsi" w:hAnsiTheme="majorHAnsi"/>
          <w:b w:val="0"/>
          <w:bCs w:val="0"/>
          <w:color w:val="231F20"/>
          <w:highlight w:val="darkGray"/>
        </w:rPr>
        <w:t>(</w:t>
      </w:r>
      <w:r w:rsidR="002E068A" w:rsidRPr="007C42AF">
        <w:rPr>
          <w:rFonts w:asciiTheme="majorHAnsi" w:hAnsiTheme="majorHAnsi"/>
          <w:b w:val="0"/>
          <w:bCs w:val="0"/>
          <w:color w:val="231F20"/>
          <w:highlight w:val="darkGray"/>
        </w:rPr>
        <w:t>Cambria, 10pt, 1.15 space)</w:t>
      </w:r>
    </w:p>
    <w:p w14:paraId="2333FE40" w14:textId="77777777" w:rsidR="002F2802" w:rsidRPr="002F2802" w:rsidRDefault="002F2802" w:rsidP="002F2802">
      <w:pPr>
        <w:pStyle w:val="Body"/>
        <w:spacing w:line="276" w:lineRule="auto"/>
        <w:ind w:left="142"/>
        <w:rPr>
          <w:rFonts w:asciiTheme="majorHAnsi" w:hAnsiTheme="majorHAnsi"/>
          <w:sz w:val="20"/>
        </w:rPr>
      </w:pPr>
      <w:r w:rsidRPr="002F2802">
        <w:rPr>
          <w:rFonts w:asciiTheme="majorHAnsi" w:hAnsiTheme="majorHAnsi"/>
          <w:sz w:val="20"/>
        </w:rPr>
        <w:t xml:space="preserve">In </w:t>
      </w:r>
      <w:r w:rsidRPr="002F2802">
        <w:rPr>
          <w:rFonts w:asciiTheme="majorHAnsi" w:hAnsiTheme="majorHAnsi"/>
          <w:color w:val="231F20"/>
          <w:sz w:val="20"/>
        </w:rPr>
        <w:t>Indonesia</w:t>
      </w:r>
      <w:r w:rsidRPr="002F2802">
        <w:rPr>
          <w:rFonts w:asciiTheme="majorHAnsi" w:hAnsiTheme="majorHAnsi"/>
          <w:sz w:val="20"/>
        </w:rPr>
        <w:t>, malnutrition among preschool children has not shown significant improvement. Among children aged 0-5 years, the prevalence of wasting and severe wasting was 10.2% in 2018, only slightly decreasing to 8.5% in 2023. On the other hand, the nutritional status of overweight and obesity remains a problem, with a prevalence of 4.2% in 2023.</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{"citationItems":[{"id":"ITEM-1","itemData":{"abstract":"Untuk penetapan kebijakan strategis (RPJMN, Renstra) dan perencanaan program diperlukan data status kesehatan dan determinannya yang diukur di masyarakat. Untuk melihat trend keberhasilan pembangunan kesehatan dibutuhkan Riskesdas secara serial 5 tahunan. Riskesdas banyak dipakai sebagai bahan penyusunan kebijakan baik oleh Kemenkes, Bappenas, TNP2K, dan K/L Lainnya, termasuk Pemerintah Daerah. Riskesdas juga dipergunakan untuk melihat perkembangan IPKM 2.","author":[{"dropping-particle":"","family":"Kementerian Kesehatan RI","given":"","non-dropping-particle":"","parse-names":false,"suffix":""}],"container-title":"Riskesdas","id":"ITEM-1","issued":{"date-parts":[["2018"]]},"number-of-pages":"76","title":"Riset Kesehatan Dasar Nasional","type":"report"},"uris":["http://www.mendeley.com/documents/?uuid=b8d79123-3002-4efc-bc8f-7b264caf5f55"]},{"id":"ITEM-2","itemData":{"author":[{"dropping-particle":"","family":"Kementerian Kesehatan RI","given":"","non-dropping-particle":"","parse-names":false,"suffix":""}],"id":"ITEM-2","issued":{"date-parts":[["2023"]]},"publisher-place":"Jakarta","title":"Survei Kesehatan Indonesia 2023","type":"report"},"uris":["http://www.mendeley.com/documents/?uuid=5a480cb7-484b-4959-8851-795e18768769"]}],"mendeley":{"formattedCitation":"(Kementerian Kesehatan RI, 2018, 2023)","plainTextFormattedCitation":"(Kementerian Kesehatan RI, 2018, 2023)","previouslyFormattedCitation":"(Kementerian Kesehatan RI, 2018, 2023)"},"properties":{"noteIndex":0},"schema":"https://github.com/citation-style-language/schema/raw/master/csl-citation.json"}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(Kementerian Kesehatan RI, 2018, 2023)</w:t>
      </w:r>
      <w:r w:rsidRPr="002F2802">
        <w:rPr>
          <w:rFonts w:asciiTheme="majorHAnsi" w:hAnsiTheme="majorHAnsi"/>
          <w:sz w:val="20"/>
        </w:rPr>
        <w:fldChar w:fldCharType="end"/>
      </w:r>
      <w:r w:rsidRPr="002F2802">
        <w:rPr>
          <w:rFonts w:asciiTheme="majorHAnsi" w:hAnsiTheme="majorHAnsi"/>
          <w:sz w:val="20"/>
        </w:rPr>
        <w:t xml:space="preserve">. One of the causes of nutritional imbalance problems is an unbalanced diet, including disturbances in children's eating patterns, one of which is picky eating.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{"citationItems":[{"id":"ITEM-1","itemData":{"DOI":"10.14710/jgi.6.2.123-130","abstract":"Background : Picky eater tended to reject new or unfamiliar foods. They had preferred food that lead to less food intake diversity. Futhermore, inadequate variation and amount of food intake could distrupt the growth of children.Objective : To determine the correlation between picky eating  and nutritional status in preschool children.Methods : This was an observational studies with cross sectional design. Sixty-three subjects were randomly selected based on the inclusion criteria. Data collected included socio-demographic information. Picky eating was obtained through the Children’s Eating Behavior Questionnaire. Nutritional status was measured based on weight-for-height z-score (WHZ), weight-for-age z-score (WAZ), and height-for-age z-score (HAZ).Nutrition intake was assessed by 2x24h dietary recall. Physical activity was obtained using Early Years-Physical Activity Questionnaire. Data were analyzed using Chi-square and Fisher's test.Results : The prevalence of picky eater was 52.4% in preschoolers. WHZ, WAZ, and HAZ mean were -0.3±1.5SD, -0.2±1.3SD, and HAZ -0.2±1.3SD, respectively. Picky eating was associated with carbohydrate and fiber intake (p&lt;0.05). There was no correlation between picky eating and nutritional status of WHZ, WAZ and HAZ (p&gt;0.05). Meanwhile, food intake associated with nutritional status of BB/U was energy, protein and fat intake (p&lt;0.05).Conclusion : There was no relation between picky eating  with nutritional status of WHZ, WAZ and HAZ in preschool children.","author":[{"dropping-particle":"","family":"Hardianti","given":"Rahma","non-dropping-particle":"","parse-names":false,"suffix":""},{"dropping-particle":"","family":"Dieny","given":"Fillah Fithra","non-dropping-particle":"","parse-names":false,"suffix":""},{"dropping-particle":"","family":"Wijayanti","given":"Hartanti Sandi","non-dropping-particle":"","parse-names":false,"suffix":""}],"container-title":"Jurnal Gizi Indonesia (The Indonesian Journal of Nutrition)","id":"ITEM-1","issue":"2","issued":{"date-parts":[["2018"]]},"title":"Picky eating dan status gizi pada anak prasekolah","type":"article-journal","volume":"6"},"uris":["http://www.mendeley.com/documents/?uuid=fd7a9d96-33b3-36c0-848a-2a92485dd2dd"]},{"id":"ITEM-2","itemData":{"DOI":"10.15761/nnr.1000115","abstract":"This study aimed to evaluate the prevalence of picky eating among preschoolers and to estimate the clinical association between eating behavior and growth, physical activity, development, and health status.","author":[{"dropping-particle":"","family":"Yaqob Qazaryan","given":"Khajik Sirob","non-dropping-particle":"","parse-names":false,"suffix":""},{"dropping-particle":"","family":"Kazim Karim","given":"Saad","non-dropping-particle":"","parse-names":false,"suffix":""}],"container-title":"Neurology and Neuroscience Reports","id":"ITEM-2","issue":"1","issued":{"date-parts":[["2019"]]},"page":"1-8","title":"The clinical link of preschoolers’ picky eating behavior with their growth, development, nutritional status, and physical activity in Iraq/Kurdistan region","type":"article-journal","volume":"2"},"uris":["http://www.mendeley.com/documents/?uuid=24ce21c4-03c3-4b9a-973c-f2d839de75d5"]}],"mendeley":{"formattedCitation":"(Hardianti et al., 2018; Yaqob Qazaryan &amp; Kazim Karim, 2019)","plainTextFormattedCitation":"(Hardianti et al., 2018; Yaqob Qazaryan &amp; Kazim Karim, 2019)","previouslyFormattedCitation":"(Hardianti et al., 2018; Yaqob Qazaryan &amp; Kazim Karim, 2019)"},"properties":{"noteIndex":0},"schema":"https://github.com/citation-style-language/schema/raw/master/csl-citation.json"}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(Hardianti et al., 2018; Yaqob Qazaryan &amp; Kazim Karim, 2019)</w:t>
      </w:r>
      <w:r w:rsidRPr="002F2802">
        <w:rPr>
          <w:rFonts w:asciiTheme="majorHAnsi" w:hAnsiTheme="majorHAnsi"/>
          <w:sz w:val="20"/>
        </w:rPr>
        <w:fldChar w:fldCharType="end"/>
      </w:r>
      <w:r w:rsidRPr="002F2802">
        <w:rPr>
          <w:rFonts w:asciiTheme="majorHAnsi" w:hAnsiTheme="majorHAnsi"/>
          <w:sz w:val="20"/>
        </w:rPr>
        <w:t xml:space="preserve">. Picky eating, also referred to as fussy, faddy, or choosy eating, represents one type of feeding difficulty. A child who is picky eater can be selective about many things, including variety, brand, textures, smell or presentation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ISSN":"2325-6699","PMID":"23516746","author":[{"dropping-particle":"","family":"McCormick","given":"Valerie","non-dropping-particle":"","parse-names":false,"suffix":""},{"dropping-particle":"","family":"Markowitz","given":"Goldie","non-dropping-particle":"","parse-names":false,"suffix":""}],"container-title":"Advance for NPs &amp; PAs","id":"ITEM-1","issue":"3","issued":{"date-parts":[["2013"]]},"title":"Picky eater or feeding disorder? Strategies for determining the difference.","type":"article-journal","volume":"4"},"uris":["http://www.mendeley.com/documents/?uuid=c7410501-1783-4655-a491-ba6ebb8f3e6b"]}],"mendeley":{"formattedCitation":"(McCormick &amp; Markowitz, 2013)","plainTextFormattedCitation":"(McCormick &amp; Markowitz, 2013)","previouslyFormattedCitation":"(McCormick &amp; Markowitz, 2013)"},"properties":{"noteIndex":0},"schema":"https://github.com/citation-style-language/schema/raw/master/csl-citation.json"}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(McCormick &amp; Markowitz, 2013)</w:t>
      </w:r>
      <w:r w:rsidRPr="002F2802">
        <w:rPr>
          <w:rFonts w:asciiTheme="majorHAnsi" w:hAnsiTheme="majorHAnsi"/>
          <w:sz w:val="20"/>
        </w:rPr>
        <w:fldChar w:fldCharType="end"/>
      </w:r>
      <w:r w:rsidRPr="002F2802">
        <w:rPr>
          <w:rFonts w:asciiTheme="majorHAnsi" w:hAnsiTheme="majorHAnsi"/>
          <w:sz w:val="20"/>
        </w:rPr>
        <w:t xml:space="preserve">. Picky eaters usually have a limited dietary variety and consume less carbohydrate, protein, fruits, vegetable and fish,  but more in unhealthy food such as, snacks, fast food, and also food that contains high trans-fat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{"citationItems":[{"id":"ITEM-1","itemData":{"author":[{"dropping-particle":"","family":"Kutbi","given":"Hebah Alawi","non-dropping-particle":"","parse-names":false,"suffix":""}],"container-title":"Nutrients","id":"ITEM-1","issue":"8","issued":{"date-parts":[["2021"]]},"page":"1-10","title":"Picky Eating in School-Aged Children : Sociodemographic","type":"article-journal","volume":"13"},"uris":["http://www.mendeley.com/documents/?uuid=16007c7e-5360-493f-b014-fcb6e1cfa170"]},{"id":"ITEM-2","itemData":{"DOI":"10.47836/mjmhs18.4.3","ISSN":"26369346","abstract":"Introduction: Picky eating behaviour was linked to nutritional problems due to limited dietary variety. This study aimed to determine the causes and consequences associated with picky eating behaviour among school-aged children in Kuala Lumpur, Malaysia. Methods: A total of 339 children aged seven to nine years participated in this cross-sectional study. Socio-demographic factors, eating behaviours and child/parental feeding style were assessed through parent's questionnaires, while eating habits of children were accessed through child's questionnaire. Body height and weight were measured; body mass index (BMI) was calculated. Cognitive function level was determined using the Raven's Coloured Progressive Matrices test. Results: One third (38%) of the children were picky eaters and consumed lesser vegetables (χ2=4.49,p=0.034) and fish (χ2=5.55,p=0.019), but more milk and dairy products (χ2=3.91,p=0.048), snacks (χ2=6.25,p=0.012) and fast food (χ2=7.35,p=0.007) compared to non-picky eaters. Picky eaters were more likely to have normal weight status based on weight-for-age, height-for-age and BMI-for-age compared to non-picky eaters (p&lt;0.05). Picky eaters came from a household with other picky eaters in the family and their parents tend to use an instrumental feeding style. Picky eaters had a poorer cognitive function compared to non-picky eaters (p=0.03). Conclusion: We did not find significant differences in growth parameters between picky and non-picky eaters but picky eaters were more likely to have a poorer cognitive function. As parental feeding styles significantly influenced children's eating behaviour, interventions should target parents to improve their children's dietary variety.","author":[{"dropping-particle":"","family":"Mok","given":"Kai Ting","non-dropping-particle":"","parse-names":false,"suffix":""},{"dropping-particle":"","family":"Tung","given":"Serene En Hui","non-dropping-particle":"","parse-names":false,"suffix":""},{"dropping-particle":"","family":"Kaur","given":"Satvinder","non-dropping-particle":"","parse-names":false,"suffix":""}],"container-title":"Malaysian Journal of Medicine and Health Sciences","id":"ITEM-2","issue":"4","issued":{"date-parts":[["2022"]]},"page":"10-18","title":"Picky Eating Behaviour, Feeding Practices, Dietary Habits, Weight Status and Cognitive Function Among School Children in Kuala Lumpur, Malaysia","type":"article-journal","volume":"18"},"uris":["http://www.mendeley.com/documents/?uuid=781033c5-d91e-48ff-8aae-92166a56baba"]},{"id":"ITEM-3","itemData":{"DOI":"10.20473/mgi.v19i3.296-303","ISSN":"25408410","abstract":"Picky eating behavior or selective eating behavior in children poses a significant difficulty to parents during the preschool years of growth and development. This may have an impact on the range of foods that kids eat. Food variety restrictions will affect how much energy, protein, fat, and carbohydrates are consumed. This study was aimed to analyze the relationship between picky eating behavior and the level of nutrient adequacy in preschool children in Buduran District, Sidoarjo Regency. The method of this study was a cross-sectional study design involving 64 preschool children as respondents who were selected proportionally by random sampling method. Data were collected by completing the Child Eating Behavior Questionnaire (CEBQ) and Semi-Quantitative Food Frequency Questionnaire (SQ-FFQ). Data analysis was performed using the Spearman Rank Correlation test. The study found a significant correlation between picky eating behavior and carbohydrate adequacy (p=0.014). Specifically, 51.6% of the subjects exhibited picky eating behavior, and among them, a significant proportion had a carbohydrate intake classified as deficient. The findings underscore the importance of targeted nutritional interventions for children with picky eating behaviors to ensure balanced nutrient intake.","author":[{"dropping-particle":"","family":"Aziseh","given":"Nur","non-dropping-particle":"","parse-names":false,"suffix":""},{"dropping-particle":"","family":"Hakiki","given":"Muchammad Insan Kharisma","non-dropping-particle":"","parse-names":false,"suffix":""}],"container-title":"Media Gizi Indonesia","id":"ITEM-3","issue":"3","issued":{"date-parts":[["2024"]]},"page":"296-303","title":"Relationship Between Picky Eating Behavior and Level of Nutrient Adequacy in Preschool Children","type":"article-journal","volume":"19"},"uris":["http://www.mendeley.com/documents/?uuid=5dde930f-9fa8-464e-a434-04db7cef92d4"]}],"mendeley":{"formattedCitation":"(Aziseh &amp; Hakiki, 2024; Kutbi, 2021; Mok et al., 2022)","plainTextFormattedCitation":"(Aziseh &amp; Hakiki, 2024; Kutbi, 2021; Mok et al., 2022)","previouslyFormattedCitation":"(Aziseh &amp; Hakiki, 2024; Kutbi, 2021; Mok et al., 2022)"},"properties":{"noteIndex":0},"schema":"https://github.com/citation-style-language/schema/raw/master/csl-citation.json"}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(Aziseh &amp; Hakiki, 2024; Kutbi, 2021; Mok et al., 2022)</w:t>
      </w:r>
      <w:r w:rsidRPr="002F2802">
        <w:rPr>
          <w:rFonts w:asciiTheme="majorHAnsi" w:hAnsiTheme="majorHAnsi"/>
          <w:sz w:val="20"/>
        </w:rPr>
        <w:fldChar w:fldCharType="end"/>
      </w:r>
      <w:r w:rsidRPr="002F2802">
        <w:rPr>
          <w:rFonts w:asciiTheme="majorHAnsi" w:hAnsiTheme="majorHAnsi"/>
          <w:sz w:val="20"/>
        </w:rPr>
        <w:t>.</w:t>
      </w:r>
    </w:p>
    <w:p w14:paraId="1CAD8FAE" w14:textId="77777777" w:rsidR="002F2802" w:rsidRPr="002F2802" w:rsidRDefault="002F2802" w:rsidP="002F2802">
      <w:pPr>
        <w:pStyle w:val="Body"/>
        <w:spacing w:line="276" w:lineRule="auto"/>
        <w:ind w:left="142"/>
        <w:rPr>
          <w:rFonts w:asciiTheme="majorHAnsi" w:hAnsiTheme="majorHAnsi"/>
          <w:sz w:val="20"/>
        </w:rPr>
      </w:pPr>
      <w:r w:rsidRPr="002F2802">
        <w:rPr>
          <w:rFonts w:asciiTheme="majorHAnsi" w:hAnsiTheme="majorHAnsi"/>
          <w:sz w:val="20"/>
        </w:rPr>
        <w:t xml:space="preserve">The prevalence of picky eating in various countries around the world varies, including Portugal (25.1%), Taiwan (54%), China (59.3%), and </w:t>
      </w:r>
      <w:r w:rsidRPr="002F2802">
        <w:rPr>
          <w:rFonts w:asciiTheme="majorHAnsi" w:hAnsiTheme="majorHAnsi"/>
          <w:color w:val="231F20"/>
          <w:sz w:val="20"/>
        </w:rPr>
        <w:t>Saudi</w:t>
      </w:r>
      <w:r w:rsidRPr="002F2802">
        <w:rPr>
          <w:rFonts w:asciiTheme="majorHAnsi" w:hAnsiTheme="majorHAnsi"/>
          <w:sz w:val="20"/>
        </w:rPr>
        <w:t xml:space="preserve"> Arabia (89.8%)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{"citationItems":[{"id":"ITEM-1","itemData":{"DOI":"10.1016/j.eatbeh.2016.03.035","ISSN":"18737358","PMID":"27077700","abstract":"Objective: The present study, conducted with a population-based preschool children sample, aimed to examine the prevalence rates of picky eating according to the presence of the avoidance or restriction of food intake, searching for picky-eating correlates. Methods: 959 children from 1.5 to 6 years old were evaluated by their parents and caregivers/teachers. Picky eating was assessed by CBCL 1.5-5 and C-TRF, following Cano et al.'s (2015) procedure. Results: The prevalence of picky eating was 25.1%. The comparison of the picky-eating group and the non-picky-eating group indicated that picky eating was more common in older children and in children from lower-income families with younger parents. Significant associations were found between picky eating, pregnancy and birth delivery complications. Emotional and behavioral problems were also found to differentiate picky eaters and non-picky eaters using DSM-5-oriented subscales. The results of a binary logistic regression analysis revealed that children with somatic complaints and attention problems were more likely to be picky eaters. Discussion: Picky eating in preschool children should be considered together with sociodemographic features, pregnancy and delivery issues, and the presence of emotional and behavioral problems. Our results support the possibility that picky eating, as a specific eating pattern, could also be part of a broader pattern of behavioral problems in children.","author":[{"dropping-particle":"","family":"Machado","given":"Bárbara César","non-dropping-particle":"","parse-names":false,"suffix":""},{"dropping-particle":"","family":"Dias","given":"Pedro","non-dropping-particle":"","parse-names":false,"suffix":""},{"dropping-particle":"","family":"Lima","given":"Vânia Sousa","non-dropping-particle":"","parse-names":false,"suffix":""},{"dropping-particle":"","family":"Campos","given":"Joana","non-dropping-particle":"","parse-names":false,"suffix":""},{"dropping-particle":"","family":"Gonçalves","given":"Sónia","non-dropping-particle":"","parse-names":false,"suffix":""}],"container-title":"Eating Behaviors","id":"ITEM-1","issued":{"date-parts":[["2016"]]},"page":"16-21","publisher":"Elsevier Ltd","title":"Prevalence and correlates of picky eating in preschool-aged children: A population-based study","type":"article-journal","volume":"22"},"uris":["http://www.mendeley.com/documents/?uuid=67841ee1-3d60-476d-a20d-bb19024c463b"]},{"id":"ITEM-2","itemData":{"DOI":"10.1186/s12889-020-09448-0","ISSN":"14712458","abstract":"Background: China is becoming an aging society at the fastest pace in history, and there are a large number of empty nesters in the country. With economic and social development, internal support systems among families are gradually weakening. Supporting the elderly is thus emerging as a significant issue, and promoting digital health technologies is an effective way to help address it. Encouraging the application of Internet to elderly care and Internet use among the elderly are important means of promoting digital health technologies. This paper examines the current state of the use of the Internet by the elderly and factors influencing it (including physical, psychological, and social) as well as demand among the elderly for smart services. Methods: A total of 669 subjects over the age of 60 years were randomly selected from 13 cities in Heilongjiang province and surveyed using questionnaires from May 1 to July 31, 2018. The questionnaires were collected for descriptive statistics, the chi-square test, and the analysis of influential factors. Results: Of the people surveyed, 38.6% used the Internet. Their favorite online activity was online dating (74.2%), and the health information they obtained through the Internet was mainly related to diet (63.1%) and exercise (47.1%). The subjects demanded smart bracelets (MD = 2.80) and emergency callers (MD = 2.77). Gender, age, education, monthly income, quality of life, number of friends, and social participation were found to have an impact on Internet use. Conclusions: More measures are needed to reduce barriers to the use of the Internet and promote digital health technologies. The society, equipment manufacturers, and family members of the elderly should work together to enable them to reap the benefits of online technologies.","author":[{"dropping-particle":"","family":"Sun","given":"Xinran","non-dropping-particle":"","parse-names":false,"suffix":""},{"dropping-particle":"","family":"Yan","given":"Wenxin","non-dropping-particle":"","parse-names":false,"suffix":""},{"dropping-particle":"","family":"Zhou","given":"Hao","non-dropping-particle":"","parse-names":false,"suffix":""},{"dropping-particle":"","family":"Wang","given":"Zhaoqing","non-dropping-particle":"","parse-names":false,"suffix":""},{"dropping-particle":"","family":"Zhang","given":"Xueying","non-dropping-particle":"","parse-names":false,"suffix":""},{"dropping-particle":"","family":"Huang","given":"Shuang","non-dropping-particle":"","parse-names":false,"suffix":""},{"dropping-particle":"","family":"Li","given":"Li","non-dropping-particle":"","parse-names":false,"suffix":""}],"container-title":"BMC Public Health","id":"ITEM-2","issue":"1","issued":{"date-parts":[["2020"]]},"title":"Internet use and need for digital health technology among the elderly: A cross-sectional survey in China","type":"article-journal","volume":"20"},"uris":["http://www.mendeley.com/documents/?uuid=20e88b17-0e26-3fd1-881c-10756966b443"]},{"id":"ITEM-3","itemData":{"DOI":"10.1016/j.appet.2019.104373","ISSN":"10958304","PMID":"31325473","abstract":"Food neophobia and picky eating are common behaviors exhibited among children that may impact their nutritional health. Due to the limited data available regarding food neophobia and pickiness in Saudi Arabia, this study aimed to estimate the prevalence of picky eating and food neophobia among Saudi children and to examine the association of socioenvironmental and cognitive factors with food neophobia and pickiness. The study included 216 healthy children with no known allergy, aged 3–7 years old, recruited from six schools in Jeddah, Saudi Arabia. A questionnaire was utilized to collect sociodemographic information from parents. Food neophobia and pickiness were evaluated using 2 separate scales. Socioenvironmental factors that may contribute to the development of food neophobia and pickiness were evaluated, such as breastfeeding duration and weaning practices, parental strategies, peer modeling, and social facilitation. Sensory sensitivity and disgust were also evaluated to assess the association with cognitive factors. Linear regression analysis with 95% confidence intervals was used to test the associations with the selected socioenvironmental and cognitive factors. The majority of children showed moderate to severe food neophobia and pickiness (98.6% and 89.8%, respectively). The socioenvironmental factors of peer modeling and selected parental strategies were found to have a significant association with food neophobia and pickiness. Assessed cognitive factors were found to be associated with food neophobia and pickiness. Future studies investigating causes of food neophobia and food pickiness among children are warranted.","author":[{"dropping-particle":"","family":"Kutbi","given":"Hebah Alawi","non-dropping-particle":"","parse-names":false,"suffix":""},{"dropping-particle":"","family":"Alhatmi","given":"Aziza Ali","non-dropping-particle":"","parse-names":false,"suffix":""},{"dropping-particle":"","family":"Alsulami","given":"Malak Hamadi","non-dropping-particle":"","parse-names":false,"suffix":""},{"dropping-particle":"","family":"Alghamdi","given":"Shatha Saad","non-dropping-particle":"","parse-names":false,"suffix":""},{"dropping-particle":"","family":"Albagar","given":"Shamael Mofareh","non-dropping-particle":"","parse-names":false,"suffix":""},{"dropping-particle":"","family":"Mumena","given":"Walaa Abdullah","non-dropping-particle":"","parse-names":false,"suffix":""},{"dropping-particle":"","family":"Mosli","given":"Rana Hisham","non-dropping-particle":"","parse-names":false,"suffix":""}],"container-title":"Appetite","id":"ITEM-3","issued":{"date-parts":[["2019"]]},"page":"104373","publisher":"Elsevier Ltd","title":"Food neophobia and pickiness among children and associations with socioenvironmental and cognitive factors","type":"article-journal","volume":"142"},"uris":["http://www.mendeley.com/documents/?uuid=51e5a322-8add-435a-8272-9884f15524ab"]},{"id":"ITEM-4","itemData":{"DOI":"10.3389/fped.2018.00022","ISSN":"22962360","abstract":"Background:This study aimed to assess the prevalence of picky eating among preschool children and to evaluate the association between eating behavior and growth, physical activity, development, and health status. Methods:A structured questionnaire was used to conduct a cross-sectional descriptive study of 300 primary caregivers of children aged 2-4 years in Taiwan. Data collected included: demographics, food preferences, eating behavior, body weight, and height, development, physical activity, and records of medical illness. Data from children defined as picky or non-picky eaters based on parental' questionnaire responses were analyzed and compared using standard statistical tests. results:The mean age of the children was 2.95 years; 162 (54%) were picky eaters. Compared with non-picky eaters, z-score of weight-for-age, height-for-age, and body mass index (BMI)-for-age in picky eaters was 0.91, 0.73, and 0.44 SD lower, respectively. There were significant differences of rates in the weight-for-age, height-for-age, and BMI-for-age percentiles &lt; 15, between picky and non-picky eaters (P = 0.04, 0.023, and 0.005, respectively). Fear of unfamiliar places, poor physical activity, constipation, and high frequency (&gt; 2 times in the past 3 months) of medical illness were significantly higher in picky eaters (P = 0.01, 0.001, 0.044, and &lt; 0.001, respectively). conclusion:The prevalence of picky eaters in preschool children was high, resulting in significant detrimental impacts on growth, nutritional status, development, physical activity, and health status.","author":[{"dropping-particle":"","family":"Chao","given":"Hsun Chin","non-dropping-particle":"","parse-names":false,"suffix":""}],"container-title":"Frontiers in Pediatrics","id":"ITEM-4","issue":"February","issued":{"date-parts":[["2018"]]},"page":"1-9","title":"Association of picky eating with growth, nutritional status, development, physical activity, and health in preschool children","type":"article-journal","volume":"6"},"uris":["http://www.mendeley.com/documents/?uuid=d8a5ad70-0b3e-4848-b6d8-d562470ac67d"]}],"mendeley":{"formattedCitation":"(Chao, 2018; Kutbi et al., 2019; Machado et al., 2016; Sun et al., 2020)","plainTextFormattedCitation":"(Chao, 2018; Kutbi et al., 2019; Machado et al., 2016; Sun et al., 2020)","previouslyFormattedCitation":"(Chao, 2018; Kutbi et al., 2019; Machado et al., 2016; Sun et al., 2020)"},"properties":{"noteIndex":0},"schema":"https://github.com/citation-style-language/schema/raw/master/csl-citation.json"}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(Chao, 2018; Kutbi et al., 2019; Machado et al., 2016; Sun et al., 2020)</w:t>
      </w:r>
      <w:r w:rsidRPr="002F2802">
        <w:rPr>
          <w:rFonts w:asciiTheme="majorHAnsi" w:hAnsiTheme="majorHAnsi"/>
          <w:sz w:val="20"/>
        </w:rPr>
        <w:fldChar w:fldCharType="end"/>
      </w:r>
      <w:r w:rsidRPr="002F2802">
        <w:rPr>
          <w:rFonts w:asciiTheme="majorHAnsi" w:hAnsiTheme="majorHAnsi"/>
          <w:sz w:val="20"/>
        </w:rPr>
        <w:t xml:space="preserve">. Meanwhile, the prevalence of picky eating in Indonesia is in </w:t>
      </w:r>
      <w:proofErr w:type="spellStart"/>
      <w:r w:rsidRPr="002F2802">
        <w:rPr>
          <w:rFonts w:asciiTheme="majorHAnsi" w:hAnsiTheme="majorHAnsi"/>
          <w:sz w:val="20"/>
        </w:rPr>
        <w:t>Sidoarjo</w:t>
      </w:r>
      <w:proofErr w:type="spellEnd"/>
      <w:r w:rsidRPr="002F2802">
        <w:rPr>
          <w:rFonts w:asciiTheme="majorHAnsi" w:hAnsiTheme="majorHAnsi"/>
          <w:sz w:val="20"/>
        </w:rPr>
        <w:t xml:space="preserve"> City (51.6%), Semarang (52.4%), and Surabaya (53.6%)</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{"citationItems":[{"id":"ITEM-1","itemData":{"DOI":"10.35473/ijec.v7i1.3484","ISSN":"2655-657X","abstract":"A common eating problem in early childhood is picky eater behavior, where children are picky about food and refuse to eat or try new foods. Parenting patterns, parental eating behavior, mother-child interactions, exclusive breastfeeding or MPASI, psychological and physical conditions of children are influenced by picky eater behavior, which can cause micro and macro nutrient deficiencies. This study is important to study because there are problems with food consumption patterns in early childhood that can affect child growth and development. This type of research uses the SLR (Literature Review Study) method. The purpose of the literature review is to develop basic concepts and research frameworks regarding the problem of picky eater behavior. Research articles must meet the following criteria: a) research subjects are early childhood; b) picky eater behavior in early childhood institutions in Indonesia; and c) nutritional status in early childhood. This article found that early childhood in early childhood institutions experience picky eater behavior which results in low nutritional value of food consumed by children. As a result, the child's nutritional status is low and falls into the category of malnutrition. Picky eaters often appear in toddlers and have a two-fold greater risk of being underweight compared to children who are not picky eaters. ABSTRAK Masalah makan yang umum terjadi pada anak usia dini adalah perilaku picky eater, di mana anak memilih-milih makanan dan menolak untuk makan atau mencoba makanan baru. Pola asuh, perilaku makan orang tua, interaksi ibu dan anak, pemberian ASI eksklusif atau MPASI, kondisi psikologis dan fisik anak dipengaruhi oleh perilaku picky eater, yang dapat menyebabkan kekurangan zat gizi mikro dan makro. Penelitian ini penting untuk diteliti karena terdapat masalah pola konsumsi makanan pada anak usia dini yang dapat mempengaruhi tumbuh kembang anak. Jenis penelitian ini menggunakan metode SLR (Studi Kajian Literatur). Tujuan dari tinjauan pustaka adalah untuk menyusun konsep dasar dan kerangka pemikiran penelitian mengenai permasalahan perilaku picky eater. Artikel penelitian harus memenuhi kriteria sebagai berikut: a) subjek penelitian adalah anak usia dini; b) perilaku picky eater di lembaga PAUD di Indonesia; dan c) status gizi pada anak usia dini. Artikel ini menemukan bahwa anak usia dini di lembaga PAUD mengalami perilaku picky eater yang berujung pada rendahnya nilai gizi makanan yang dikonsumsi anak. A…","author":[{"dropping-particle":"","family":"Hakiki","given":"Muchammad Insan Kharisma","non-dropping-particle":"","parse-names":false,"suffix":""},{"dropping-particle":"","family":"Muniroh","given":"Lailatul","non-dropping-particle":"","parse-names":false,"suffix":""}],"container-title":"Indonesian Journal of Early Childhood: Jurnal Dunia Anak Usia Dini","id":"ITEM-1","issue":"1","issued":{"date-parts":[["2025"]]},"page":"131-142","title":"Hubungan Perilaku Picky Eater dengan Status Gizi pada Anak Pra Sekolah","type":"article-journal","volume":"7"},"uris":["http://www.mendeley.com/documents/?uuid=22937c71-e648-4ed7-beff-910f91e71fb0"]},{"id":"ITEM-2","itemData":{"DOI":"10.14710/jgi.6.2.123-130","abstract":"Background : Picky eater tended to reject new or unfamiliar foods. They had preferred food that lead to less food intake diversity. Futhermore, inadequate variation and amount of food intake could distrupt the growth of children.Objective : To determine the correlation between picky eating  and nutritional status in preschool children.Methods : This was an observational studies with cross sectional design. Sixty-three subjects were randomly selected based on the inclusion criteria. Data collected included socio-demographic information. Picky eating was obtained through the Children’s Eating Behavior Questionnaire. Nutritional status was measured based on weight-for-height z-score (WHZ), weight-for-age z-score (WAZ), and height-for-age z-score (HAZ).Nutrition intake was assessed by 2x24h dietary recall. Physical activity was obtained using Early Years-Physical Activity Questionnaire. Data were analyzed using Chi-square and Fisher's test.Results : The prevalence of picky eater was 52.4% in preschoolers. WHZ, WAZ, and HAZ mean were -0.3±1.5SD, -0.2±1.3SD, and HAZ -0.2±1.3SD, respectively. Picky eating was associated with carbohydrate and fiber intake (p&lt;0.05). There was no correlation between picky eating and nutritional status of WHZ, WAZ and HAZ (p&gt;0.05). Meanwhile, food intake associated with nutritional status of BB/U was energy, protein and fat intake (p&lt;0.05).Conclusion : There was no relation between picky eating  with nutritional status of WHZ, WAZ and HAZ in preschool children.","author":[{"dropping-particle":"","family":"Hardianti","given":"Rahma","non-dropping-particle":"","parse-names":false,"suffix":""},{"dropping-particle":"","family":"Dieny","given":"Fillah Fithra","non-dropping-particle":"","parse-names":false,"suffix":""},{"dropping-particle":"","family":"Wijayanti","given":"Hartanti Sandi","non-dropping-particle":"","parse-names":false,"suffix":""}],"container-title":"Jurnal Gizi Indonesia (The Indonesian Journal of Nutrition)","id":"ITEM-2","issue":"2","issued":{"date-parts":[["2018"]]},"title":"Picky eating dan status gizi pada anak prasekolah","type":"article-journal","volume":"6"},"uris":["http://www.mendeley.com/documents/?uuid=fd7a9d96-33b3-36c0-848a-2a92485dd2dd"]},{"id":"ITEM-3","itemData":{"author":[{"dropping-particle":"","family":"Pangastutik","given":"Deby Artika","non-dropping-particle":"","parse-names":false,"suffix":""},{"dropping-particle":"","family":"Fatmaningrum","given":"Widati","non-dropping-particle":"","parse-names":false,"suffix":""},{"dropping-particle":"","family":"Farizi","given":"Sofia","non-dropping-particle":"Al","parse-names":false,"suffix":""}],"id":"ITEM-3","issue":"02","issued":{"date-parts":[["2024"]]},"title":"The relationship between picky eater and the nutritional status of preschool children at Gotong Royong , Kindergarten, Surabaya, Indonesia","type":"article-journal","volume":"05"},"uris":["http://www.mendeley.com/documents/?uuid=9c3ccbb3-2453-495d-bd3d-87a2ecc79f05"]}],"mendeley":{"formattedCitation":"(Hakiki &amp; Muniroh, 2025; Hardianti et al., 2018; Pangastutik et al., 2024)","plainTextFormattedCitation":"(Hakiki &amp; Muniroh, 2025; Hardianti et al., 2018; Pangastutik et al., 2024)","previouslyFormattedCitation":"(Hakiki &amp; Muniroh, 2025; Hardianti et al., 2018; Pangastutik et al., 2024)"},"properties":{"noteIndex":0},"schema":"https://github.com/citation-style-language/schema/raw/master/csl-citation.json"}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(Hakiki &amp; Muniroh, 2025; Hardianti et al., 2018; Pangastutik et al., 2024)</w:t>
      </w:r>
      <w:r w:rsidRPr="002F2802">
        <w:rPr>
          <w:rFonts w:asciiTheme="majorHAnsi" w:hAnsiTheme="majorHAnsi"/>
          <w:sz w:val="20"/>
        </w:rPr>
        <w:fldChar w:fldCharType="end"/>
      </w:r>
      <w:r w:rsidRPr="002F2802">
        <w:rPr>
          <w:rFonts w:asciiTheme="majorHAnsi" w:hAnsiTheme="majorHAnsi"/>
          <w:sz w:val="20"/>
        </w:rPr>
        <w:t>.</w:t>
      </w:r>
    </w:p>
    <w:p w14:paraId="496DC30D" w14:textId="77777777" w:rsidR="002F2802" w:rsidRPr="002F2802" w:rsidRDefault="002F2802" w:rsidP="002F2802">
      <w:pPr>
        <w:pStyle w:val="Body"/>
        <w:spacing w:line="276" w:lineRule="auto"/>
        <w:ind w:left="142"/>
        <w:rPr>
          <w:rFonts w:asciiTheme="majorHAnsi" w:hAnsiTheme="majorHAnsi"/>
          <w:sz w:val="20"/>
        </w:rPr>
      </w:pPr>
      <w:r w:rsidRPr="002F2802">
        <w:rPr>
          <w:rFonts w:asciiTheme="majorHAnsi" w:hAnsiTheme="majorHAnsi"/>
          <w:sz w:val="20"/>
        </w:rPr>
        <w:t xml:space="preserve">The possible causes of </w:t>
      </w:r>
      <w:r w:rsidRPr="002F2802">
        <w:rPr>
          <w:rFonts w:asciiTheme="majorHAnsi" w:hAnsiTheme="majorHAnsi"/>
          <w:color w:val="231F20"/>
          <w:sz w:val="20"/>
        </w:rPr>
        <w:t>picky</w:t>
      </w:r>
      <w:r w:rsidRPr="002F2802">
        <w:rPr>
          <w:rFonts w:asciiTheme="majorHAnsi" w:hAnsiTheme="majorHAnsi"/>
          <w:sz w:val="20"/>
        </w:rPr>
        <w:t xml:space="preserve"> eating are multifactorial, including among them, including demographics, parental characteristics, early feeding practices and psychosocial factors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{"citationItems":[{"id":"ITEM-1","itemData":{"author":[{"dropping-particle":"","family":"Taylor","given":"Caroline M","non-dropping-particle":"","parse-names":false,"suffix":""},{"dropping-particle":"","family":"Emmett","given":"Pauline M","non-dropping-particle":"","parse-names":false,"suffix":""}],"id":"ITEM-1","issued":{"date-parts":[["2019"]]},"page":"161-169","title":"Taylor , C ., &amp; Emmett , P . ( 2019 ). Picky eating in children : Causes and University of Bristol – Bristol Research Portal","type":"article-journal","volume":"78"},"uris":["http://www.mendeley.com/documents/?uuid=5a5f2ea5-f1af-468c-bce0-15f3fb5d7cd6"]}],"mendeley":{"formattedCitation":"(Taylor &amp; Emmett, 2019)","plainTextFormattedCitation":"(Taylor &amp; Emmett, 2019)","previouslyFormattedCitation":"(Taylor &amp; Emmett, 2019)"},"properties":{"noteIndex":0},"schema":"https://github.com/citation-style-language/schema/raw/master/csl-citation.json"}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(Taylor &amp; Emmett, 2019)</w:t>
      </w:r>
      <w:r w:rsidRPr="002F2802">
        <w:rPr>
          <w:rFonts w:asciiTheme="majorHAnsi" w:hAnsiTheme="majorHAnsi"/>
          <w:sz w:val="20"/>
        </w:rPr>
        <w:fldChar w:fldCharType="end"/>
      </w:r>
      <w:r w:rsidRPr="002F2802">
        <w:rPr>
          <w:rFonts w:asciiTheme="majorHAnsi" w:hAnsiTheme="majorHAnsi"/>
          <w:sz w:val="20"/>
        </w:rPr>
        <w:t xml:space="preserve">.  Without proper management, picky eating can lead to more serious health consequences. Low nutritional status in children with picky eating has the potential to cause infectious diseases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{"citationItems":[{"id":"ITEM-1","itemData":{"DOI":"10.3389/fped.2018.00022","ISSN":"22962360","abstract":"Background:This study aimed to assess the prevalence of picky eating among preschool children and to evaluate the association between eating behavior and growth, physical activity, development, and health status. Methods:A structured questionnaire was used to conduct a cross-sectional descriptive study of 300 primary caregivers of children aged 2-4 years in Taiwan. Data collected included: demographics, food preferences, eating behavior, body weight, and height, development, physical activity, and records of medical illness. Data from children defined as picky or non-picky eaters based on parental' questionnaire responses were analyzed and compared using standard statistical tests. results:The mean age of the children was 2.95 years; 162 (54%) were picky eaters. Compared with non-picky eaters, z-score of weight-for-age, height-for-age, and body mass index (BMI)-for-age in picky eaters was 0.91, 0.73, and 0.44 SD lower, respectively. There were significant differences of rates in the weight-for-age, height-for-age, and BMI-for-age percentiles &lt; 15, between picky and non-picky eaters (P = 0.04, 0.023, and 0.005, respectively). Fear of unfamiliar places, poor physical activity, constipation, and high frequency (&gt; 2 times in the past 3 months) of medical illness were significantly higher in picky eaters (P = 0.01, 0.001, 0.044, and &lt; 0.001, respectively). conclusion:The prevalence of picky eaters in preschool children was high, resulting in significant detrimental impacts on growth, nutritional status, development, physical activity, and health status.","author":[{"dropping-particle":"","family":"Chao","given":"Hsun Chin","non-dropping-particle":"","parse-names":false,"suffix":""}],"container-title":"Frontiers in Pediatrics","id":"ITEM-1","issue":"February","issued":{"date-parts":[["2018"]]},"page":"1-9","title":"Association of picky eating with growth, nutritional status, development, physical activity, and health in preschool children","type":"article-journal","volume":"6"},"uris":["http://www.mendeley.com/documents/?uuid=d8a5ad70-0b3e-4848-b6d8-d562470ac67d"]},{"id":"ITEM-2","itemData":{"abstract":"Background: Nutritional status in toddlers is influenced by two factors, one of which is the direct factor consisting of nutrient intake and infectious diseases. Infectious diseases make toddlers lose nutrients characterized by decreased appetite so that nutrients in the body are reduced and make nutritional status in toddlers less good. Purpose: This literature review aims to find out the link between infectious diseases and nutritional status in toddlers. Methods: This research uses literature review method by searching journals through garuda portal and google scholar with a range of 2016 to 2020. The keywords used in searching for articles that fit the research are on garuda portal and google scholar is \"infectious diseases, nutritional status in toddlers\". Search results obtained on garuda portal 7 articles and google scholar 6190 articles where only 12 articles match this research. Results: Infectious diseases related to nutritional status in toddlers include decreased appetite, reduced intake in the body, toddlers have suffered from infectious diseases, tainted food, sanitation and poor environmental conditions and lack of hygiene. Conclusion: The conclusions in this study of infectious diseases have a link to nutritional status in toddlers.","author":[{"dropping-particle":"","family":"Megaratri","given":"Puspitasari","non-dropping-particle":"","parse-names":false,"suffix":""},{"dropping-particle":"","family":"Novera","given":"Herdiani","non-dropping-particle":"","parse-names":false,"suffix":""}],"container-title":"Jurnal Kesehatan","id":"ITEM-2","issue":"1","issued":{"date-parts":[["2021"]]},"page":"18-22","title":"Penyakit Infeksi Terhadap Status Gizi Balita","type":"article-journal","volume":"14"},"uris":["http://www.mendeley.com/documents/?uuid=7635c445-384f-4e47-9b1f-90fff4e784e8"]}],"mendeley":{"formattedCitation":"(Chao, 2018; Megaratri &amp; Novera, 2021)","plainTextFormattedCitation":"(Chao, 2018; Megaratri &amp; Novera, 2021)","previouslyFormattedCitation":"(Chao, 2018; Megaratri &amp; Novera, 2021)"},"properties":{"noteIndex":0},"schema":"https://github.com/citation-style-language/schema/raw/master/csl-citation.json"}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(Chao, 2018; Megaratri &amp; Novera, 2021)</w:t>
      </w:r>
      <w:r w:rsidRPr="002F2802">
        <w:rPr>
          <w:rFonts w:asciiTheme="majorHAnsi" w:hAnsiTheme="majorHAnsi"/>
          <w:sz w:val="20"/>
        </w:rPr>
        <w:fldChar w:fldCharType="end"/>
      </w:r>
      <w:r w:rsidRPr="002F2802">
        <w:rPr>
          <w:rFonts w:asciiTheme="majorHAnsi" w:hAnsiTheme="majorHAnsi"/>
          <w:sz w:val="20"/>
        </w:rPr>
        <w:t xml:space="preserve">. Meanwhile, research has also proven the relationship between picky eating and stool hardness or constipation </w:t>
      </w:r>
      <w:r w:rsidRPr="002F2802">
        <w:rPr>
          <w:rFonts w:asciiTheme="majorHAnsi" w:hAnsiTheme="majorHAnsi"/>
          <w:sz w:val="20"/>
        </w:rPr>
        <w:fldChar w:fldCharType="begin" w:fldLock="1"/>
      </w:r>
      <w:r w:rsidRPr="002F2802">
        <w:rPr>
          <w:rFonts w:asciiTheme="majorHAnsi" w:hAnsiTheme="majorHAnsi"/>
          <w:sz w:val="20"/>
        </w:rPr>
        <w:instrText>ADDIN CSL_CITATION {"citationItems":[{"id":"ITEM-1","itemData":{"DOI":"10.1016/j.appet.2016.02.021","ISSN":"10958304","PMID":"26879221","abstract":"It has been suggested that constipation may be associated with picky eating. Constipation is a common condition in childhood and a low intake of dietary fibre may be a risk factor. Differences in fibre intake between picky and non-picky children and its relation to stool consistency is currently not well-understood. Children enrolled in the Avon Longitudinal Study of Parents and Children identified as picky eaters (PE) were compared with non-picky eaters (NPE): (1) to determine dietary fibre intake at 38 months; (2) to investigate whether any difference in dietary fibre intake was predictive of usual stool hardness at 42 months. PE was identified from questionnaires at 24 and 38 months. Usual stool hardness was identified from a questionnaire at 42 months. Dietary intake was assessed at 38 months with a food frequency questionnaire. Dietary fibre intake was lower in PE than NPE (mean difference −1.4 (95% CI –1.6, –1.2) g/day, p &lt; 0.001). PE was strongly associated with dietary fibre intake (adjusted regression model; unstandardised B −1.44 (95% CI –1.62, –1.24) g/day, p &lt; 0.001). PE had a lower percentage of fibre from vegetables compared with NPE (8.9% vs 15.7%, respectively, p &lt; 0.001). There was an association between PE and usually having hard stools (adjusted multinomial model; OR 1.31, 95% CI 1.07, 1.61; p = 0.010). This was attenuated when dietary fibre was included in the model, suggesting that fibre intake mediated the association (OR 1.16, 95% CI 0.94, 1.43, p = 0.180). Picky eating in 3-year-old children was associated with an increased prevalence of usually having hard stools. This association was mediated by low dietary fibre intake, particularly from vegetables, in PE. For children with PE, dietary advice aimed at increasing fibre intake may help avoid hard stools.","author":[{"dropping-particle":"","family":"Taylor","given":"Caroline M.","non-dropping-particle":"","parse-names":false,"suffix":""},{"dropping-particle":"","family":"Northstone","given":"Kate","non-dropping-particle":"","parse-names":false,"suffix":""},{"dropping-particle":"","family":"Wernimont","given":"Susan M.","non-dropping-particle":"","parse-names":false,"suffix":""},{"dropping-particle":"","family":"Emmett","given":"Pauline M.","non-dropping-particle":"","parse-names":false,"suffix":""}],"container-title":"Appetite","id":"ITEM-1","issued":{"date-parts":[["2016"]]},"page":"263-271","title":"Picky eating in preschool children: Associations with dietary fibre intakes and stool hardness","type":"article-journal","volume":"100"},"uris":["http://www.mendeley.com/documents/?uuid=ca602791-a1af-4d7b-9f43-1316f2e266af"]}],"mendeley":{"formattedCitation":"(Taylor et al., 2016)","plainTextFormattedCitation":"(Taylor et al., 2016)","previouslyFormattedCitation":"(Taylor et al., 2016)"},"properties":{"noteIndex":0},"schema":"https://github.com/citation-style-language/schema/raw/master/csl-citation.json"}</w:instrText>
      </w:r>
      <w:r w:rsidRPr="002F2802">
        <w:rPr>
          <w:rFonts w:asciiTheme="majorHAnsi" w:hAnsiTheme="majorHAnsi"/>
          <w:sz w:val="20"/>
        </w:rPr>
        <w:fldChar w:fldCharType="separate"/>
      </w:r>
      <w:r w:rsidRPr="002F2802">
        <w:rPr>
          <w:rFonts w:asciiTheme="majorHAnsi" w:hAnsiTheme="majorHAnsi"/>
          <w:noProof/>
          <w:sz w:val="20"/>
        </w:rPr>
        <w:t>(Taylor et al., 2016)</w:t>
      </w:r>
      <w:r w:rsidRPr="002F2802">
        <w:rPr>
          <w:rFonts w:asciiTheme="majorHAnsi" w:hAnsiTheme="majorHAnsi"/>
          <w:sz w:val="20"/>
        </w:rPr>
        <w:fldChar w:fldCharType="end"/>
      </w:r>
      <w:r w:rsidRPr="002F2802">
        <w:rPr>
          <w:rFonts w:asciiTheme="majorHAnsi" w:hAnsiTheme="majorHAnsi"/>
          <w:sz w:val="20"/>
        </w:rPr>
        <w:t>. In this study, we will examine the overview of picky eating and its various determinants, as well as its impact on nutritional status and health, such as infectious diseases and constipation.</w:t>
      </w:r>
    </w:p>
    <w:p w14:paraId="6137762D" w14:textId="77777777" w:rsidR="002E068A" w:rsidRPr="002F2802" w:rsidRDefault="002E068A" w:rsidP="002F2802">
      <w:pPr>
        <w:pStyle w:val="BodyText"/>
        <w:spacing w:line="276" w:lineRule="auto"/>
        <w:ind w:left="130" w:right="135" w:firstLine="283"/>
        <w:jc w:val="both"/>
        <w:rPr>
          <w:rFonts w:asciiTheme="majorHAnsi" w:hAnsiTheme="majorHAnsi"/>
        </w:rPr>
      </w:pPr>
    </w:p>
    <w:p w14:paraId="1668F878" w14:textId="77777777" w:rsidR="002E068A" w:rsidRDefault="002E068A" w:rsidP="000B334F">
      <w:pPr>
        <w:pStyle w:val="BodyText"/>
        <w:spacing w:line="276" w:lineRule="auto"/>
        <w:ind w:left="130" w:right="135" w:firstLine="283"/>
        <w:jc w:val="both"/>
        <w:rPr>
          <w:rFonts w:asciiTheme="majorHAnsi" w:hAnsiTheme="majorHAnsi"/>
          <w:sz w:val="16"/>
        </w:rPr>
      </w:pPr>
    </w:p>
    <w:p w14:paraId="21D4792C" w14:textId="77777777" w:rsidR="002E068A" w:rsidRDefault="002E068A" w:rsidP="000B334F">
      <w:pPr>
        <w:pStyle w:val="BodyText"/>
        <w:spacing w:line="276" w:lineRule="auto"/>
        <w:ind w:left="130" w:right="135" w:firstLine="283"/>
        <w:jc w:val="both"/>
        <w:rPr>
          <w:rFonts w:asciiTheme="majorHAnsi" w:hAnsiTheme="majorHAnsi"/>
          <w:sz w:val="16"/>
        </w:rPr>
      </w:pPr>
    </w:p>
    <w:p w14:paraId="03E90F58" w14:textId="77777777" w:rsidR="002E068A" w:rsidRDefault="002E068A" w:rsidP="000B334F">
      <w:pPr>
        <w:pStyle w:val="BodyText"/>
        <w:spacing w:line="276" w:lineRule="auto"/>
        <w:ind w:left="130" w:right="135" w:firstLine="283"/>
        <w:jc w:val="both"/>
        <w:rPr>
          <w:rFonts w:asciiTheme="majorHAnsi" w:hAnsiTheme="majorHAnsi"/>
          <w:sz w:val="16"/>
        </w:rPr>
      </w:pPr>
    </w:p>
    <w:p w14:paraId="1C9238BF" w14:textId="77777777" w:rsidR="002E068A" w:rsidRDefault="002E068A" w:rsidP="000B334F">
      <w:pPr>
        <w:pStyle w:val="BodyText"/>
        <w:spacing w:line="276" w:lineRule="auto"/>
        <w:ind w:left="130" w:right="135" w:firstLine="283"/>
        <w:jc w:val="both"/>
        <w:rPr>
          <w:rFonts w:asciiTheme="majorHAnsi" w:hAnsiTheme="majorHAnsi"/>
          <w:sz w:val="16"/>
        </w:rPr>
      </w:pPr>
    </w:p>
    <w:p w14:paraId="528FA69A" w14:textId="77777777" w:rsidR="002E068A" w:rsidRDefault="002E068A" w:rsidP="000B334F">
      <w:pPr>
        <w:pStyle w:val="BodyText"/>
        <w:spacing w:line="276" w:lineRule="auto"/>
        <w:rPr>
          <w:rFonts w:asciiTheme="majorHAnsi" w:hAnsiTheme="majorHAnsi"/>
        </w:rPr>
      </w:pPr>
    </w:p>
    <w:p w14:paraId="487799C7" w14:textId="77777777" w:rsidR="002E068A" w:rsidRDefault="002E068A" w:rsidP="000B334F">
      <w:pPr>
        <w:pStyle w:val="BodyText"/>
        <w:spacing w:line="276" w:lineRule="auto"/>
        <w:rPr>
          <w:rFonts w:asciiTheme="majorHAnsi" w:hAnsiTheme="majorHAnsi"/>
        </w:rPr>
      </w:pPr>
    </w:p>
    <w:p w14:paraId="67BB3DA3" w14:textId="77777777" w:rsidR="006C1B1F" w:rsidRDefault="006C1B1F" w:rsidP="000B334F">
      <w:pPr>
        <w:pStyle w:val="BodyText"/>
        <w:spacing w:line="276" w:lineRule="auto"/>
        <w:rPr>
          <w:rFonts w:asciiTheme="majorHAnsi" w:hAnsiTheme="majorHAnsi"/>
        </w:rPr>
      </w:pPr>
    </w:p>
    <w:p w14:paraId="3490D3D5" w14:textId="77777777" w:rsidR="006C1B1F" w:rsidRDefault="006C1B1F" w:rsidP="000B334F">
      <w:pPr>
        <w:pStyle w:val="BodyText"/>
        <w:spacing w:line="276" w:lineRule="auto"/>
        <w:rPr>
          <w:rFonts w:asciiTheme="majorHAnsi" w:hAnsiTheme="majorHAnsi"/>
        </w:rPr>
      </w:pPr>
    </w:p>
    <w:p w14:paraId="3C16A8E8" w14:textId="77777777" w:rsidR="006C1B1F" w:rsidRDefault="006C1B1F" w:rsidP="000B334F">
      <w:pPr>
        <w:pStyle w:val="BodyText"/>
        <w:spacing w:line="276" w:lineRule="auto"/>
        <w:rPr>
          <w:rFonts w:asciiTheme="majorHAnsi" w:hAnsiTheme="majorHAnsi"/>
        </w:rPr>
      </w:pPr>
    </w:p>
    <w:p w14:paraId="4CA6A4CE" w14:textId="77777777" w:rsidR="006C1B1F" w:rsidRDefault="006C1B1F" w:rsidP="000B334F">
      <w:pPr>
        <w:pStyle w:val="BodyText"/>
        <w:spacing w:line="276" w:lineRule="auto"/>
        <w:rPr>
          <w:rFonts w:asciiTheme="majorHAnsi" w:hAnsiTheme="majorHAnsi"/>
        </w:rPr>
      </w:pPr>
    </w:p>
    <w:p w14:paraId="08940269" w14:textId="77777777" w:rsidR="006C1B1F" w:rsidRDefault="006C1B1F" w:rsidP="000B334F">
      <w:pPr>
        <w:pStyle w:val="BodyText"/>
        <w:spacing w:line="276" w:lineRule="auto"/>
        <w:rPr>
          <w:rFonts w:asciiTheme="majorHAnsi" w:hAnsiTheme="majorHAnsi"/>
        </w:rPr>
      </w:pPr>
    </w:p>
    <w:p w14:paraId="2FBEC69D" w14:textId="77777777" w:rsidR="006C1B1F" w:rsidRDefault="006C1B1F" w:rsidP="000B334F">
      <w:pPr>
        <w:pStyle w:val="BodyText"/>
        <w:spacing w:line="276" w:lineRule="auto"/>
        <w:rPr>
          <w:rFonts w:asciiTheme="majorHAnsi" w:hAnsiTheme="majorHAnsi"/>
        </w:rPr>
      </w:pPr>
    </w:p>
    <w:p w14:paraId="68330BDF" w14:textId="77777777" w:rsidR="006C1B1F" w:rsidRDefault="006C1B1F" w:rsidP="000B334F">
      <w:pPr>
        <w:pStyle w:val="BodyText"/>
        <w:spacing w:line="276" w:lineRule="auto"/>
        <w:rPr>
          <w:rFonts w:asciiTheme="majorHAnsi" w:hAnsiTheme="majorHAnsi"/>
        </w:rPr>
      </w:pPr>
    </w:p>
    <w:p w14:paraId="0E74A64B" w14:textId="77777777" w:rsidR="006C1B1F" w:rsidRDefault="006C1B1F" w:rsidP="000B334F">
      <w:pPr>
        <w:pStyle w:val="BodyText"/>
        <w:spacing w:line="276" w:lineRule="auto"/>
        <w:rPr>
          <w:rFonts w:asciiTheme="majorHAnsi" w:hAnsiTheme="majorHAnsi"/>
        </w:rPr>
      </w:pPr>
    </w:p>
    <w:p w14:paraId="50F2C426" w14:textId="77777777" w:rsidR="006C1B1F" w:rsidRDefault="006C1B1F" w:rsidP="000B334F">
      <w:pPr>
        <w:pStyle w:val="BodyText"/>
        <w:spacing w:line="276" w:lineRule="auto"/>
        <w:rPr>
          <w:rFonts w:asciiTheme="majorHAnsi" w:hAnsiTheme="majorHAnsi"/>
        </w:rPr>
      </w:pPr>
    </w:p>
    <w:p w14:paraId="68FAE026" w14:textId="77777777" w:rsidR="00AA7BD2" w:rsidRDefault="00AA7BD2" w:rsidP="000B334F">
      <w:pPr>
        <w:pStyle w:val="BodyText"/>
        <w:spacing w:line="276" w:lineRule="auto"/>
        <w:rPr>
          <w:rFonts w:asciiTheme="majorHAnsi" w:hAnsiTheme="majorHAnsi"/>
        </w:rPr>
      </w:pPr>
    </w:p>
    <w:p w14:paraId="7BEB44E7" w14:textId="1E0BD18E" w:rsidR="00AA7BD2" w:rsidRPr="008E0AA9" w:rsidRDefault="008E0AA9" w:rsidP="000B334F">
      <w:pPr>
        <w:pStyle w:val="BodyText"/>
        <w:spacing w:line="276" w:lineRule="auto"/>
        <w:jc w:val="center"/>
        <w:rPr>
          <w:rFonts w:asciiTheme="majorHAnsi" w:hAnsiTheme="majorHAnsi"/>
          <w:b/>
          <w:bCs/>
        </w:rPr>
      </w:pPr>
      <w:r>
        <w:rPr>
          <w:rFonts w:asciiTheme="majorHAnsi" w:hAnsiTheme="majorHAnsi"/>
          <w:b/>
          <w:bCs/>
        </w:rPr>
        <w:t xml:space="preserve">PLEASE DO NOT MOVE THIS BOX BELOW. IF YOUR INTRODUCTION EXCEEDS THIS PAGE, </w:t>
      </w:r>
      <w:r w:rsidR="00C33E11">
        <w:rPr>
          <w:rFonts w:asciiTheme="majorHAnsi" w:hAnsiTheme="majorHAnsi"/>
          <w:b/>
          <w:bCs/>
        </w:rPr>
        <w:t>GO TO</w:t>
      </w:r>
      <w:r>
        <w:rPr>
          <w:rFonts w:asciiTheme="majorHAnsi" w:hAnsiTheme="majorHAnsi"/>
          <w:b/>
          <w:bCs/>
        </w:rPr>
        <w:t xml:space="preserve"> THE NEXT PAGE</w:t>
      </w:r>
    </w:p>
    <w:p w14:paraId="6BF75183" w14:textId="77777777" w:rsidR="002E068A" w:rsidRPr="002E068A" w:rsidRDefault="002E068A" w:rsidP="000B334F">
      <w:pPr>
        <w:tabs>
          <w:tab w:val="left" w:pos="5425"/>
        </w:tabs>
        <w:spacing w:line="276" w:lineRule="auto"/>
        <w:ind w:left="119"/>
        <w:rPr>
          <w:rFonts w:asciiTheme="majorHAnsi" w:hAnsiTheme="majorHAnsi"/>
          <w:sz w:val="2"/>
        </w:rPr>
      </w:pPr>
      <w:r w:rsidRPr="002E068A">
        <w:rPr>
          <w:rFonts w:asciiTheme="majorHAnsi" w:hAnsiTheme="majorHAnsi"/>
          <w:noProof/>
          <w:sz w:val="2"/>
        </w:rPr>
        <mc:AlternateContent>
          <mc:Choice Requires="wpg">
            <w:drawing>
              <wp:inline distT="0" distB="0" distL="0" distR="0" wp14:anchorId="28164735" wp14:editId="79B67FB0">
                <wp:extent cx="310515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5150" cy="6350"/>
                          <a:chOff x="0" y="0"/>
                          <a:chExt cx="3105150" cy="6350"/>
                        </a:xfrm>
                      </wpg:grpSpPr>
                      <wps:wsp>
                        <wps:cNvPr id="2" name="Graphic 2"/>
                        <wps:cNvSpPr/>
                        <wps:spPr>
                          <a:xfrm>
                            <a:off x="0" y="3175"/>
                            <a:ext cx="3105150" cy="1270"/>
                          </a:xfrm>
                          <a:custGeom>
                            <a:avLst/>
                            <a:gdLst/>
                            <a:ahLst/>
                            <a:cxnLst/>
                            <a:rect l="l" t="t" r="r" b="b"/>
                            <a:pathLst>
                              <a:path w="3105150">
                                <a:moveTo>
                                  <a:pt x="0" y="0"/>
                                </a:moveTo>
                                <a:lnTo>
                                  <a:pt x="310513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243AFA0" id="Group 1" o:spid="_x0000_s1026" style="width:244.5pt;height:.5pt;mso-position-horizontal-relative:char;mso-position-vertical-relative:line" coordsize="31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">
                <v:shape id="Graphic 2" o:spid="_x0000_s1027" style="position:absolute;top:31;width:31051;height:13;visibility:visible;mso-wrap-style:square;v-text-anchor:top" coordsize="310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" path="m,l3105137,e" filled="f" strokecolor="#231f20" strokeweight=".5pt">
                  <v:path arrowok="t"/>
                </v:shape>
                <w10:anchorlock/>
              </v:group>
            </w:pict>
          </mc:Fallback>
        </mc:AlternateContent>
      </w:r>
      <w:r w:rsidRPr="002E068A">
        <w:rPr>
          <w:rFonts w:asciiTheme="majorHAnsi" w:hAnsiTheme="majorHAnsi"/>
          <w:sz w:val="2"/>
        </w:rPr>
        <w:tab/>
      </w:r>
      <w:r w:rsidRPr="002E068A">
        <w:rPr>
          <w:rFonts w:asciiTheme="majorHAnsi" w:hAnsiTheme="majorHAnsi"/>
          <w:noProof/>
          <w:sz w:val="2"/>
        </w:rPr>
        <mc:AlternateContent>
          <mc:Choice Requires="wpg">
            <w:drawing>
              <wp:inline distT="0" distB="0" distL="0" distR="0" wp14:anchorId="694D6F0F" wp14:editId="5AAA707C">
                <wp:extent cx="310515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5150" cy="6350"/>
                          <a:chOff x="0" y="0"/>
                          <a:chExt cx="3105150" cy="6350"/>
                        </a:xfrm>
                      </wpg:grpSpPr>
                      <wps:wsp>
                        <wps:cNvPr id="4" name="Graphic 4"/>
                        <wps:cNvSpPr/>
                        <wps:spPr>
                          <a:xfrm>
                            <a:off x="0" y="3175"/>
                            <a:ext cx="3105150" cy="1270"/>
                          </a:xfrm>
                          <a:custGeom>
                            <a:avLst/>
                            <a:gdLst/>
                            <a:ahLst/>
                            <a:cxnLst/>
                            <a:rect l="l" t="t" r="r" b="b"/>
                            <a:pathLst>
                              <a:path w="3105150">
                                <a:moveTo>
                                  <a:pt x="0" y="0"/>
                                </a:moveTo>
                                <a:lnTo>
                                  <a:pt x="310513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1DB3773" id="Group 3" o:spid="_x0000_s1026" style="width:244.5pt;height:.5pt;mso-position-horizontal-relative:char;mso-position-vertical-relative:line" coordsize="31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">
                <v:shape id="Graphic 4" o:spid="_x0000_s1027" style="position:absolute;top:31;width:31051;height:13;visibility:visible;mso-wrap-style:square;v-text-anchor:top" coordsize="310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" path="m,l3105137,e" filled="f" strokecolor="#231f20" strokeweight=".5pt">
                  <v:path arrowok="t"/>
                </v:shape>
                <w10:anchorlock/>
              </v:group>
            </w:pict>
          </mc:Fallback>
        </mc:AlternateContent>
      </w:r>
    </w:p>
    <w:p w14:paraId="09FEFA31" w14:textId="77777777" w:rsidR="002E068A" w:rsidRPr="002E068A" w:rsidRDefault="002E068A" w:rsidP="000B334F">
      <w:pPr>
        <w:spacing w:line="276" w:lineRule="auto"/>
        <w:rPr>
          <w:rFonts w:asciiTheme="majorHAnsi" w:hAnsiTheme="majorHAnsi"/>
          <w:sz w:val="2"/>
        </w:rPr>
        <w:sectPr w:rsidR="002E068A" w:rsidRPr="002E068A" w:rsidSect="00CB1345">
          <w:type w:val="continuous"/>
          <w:pgSz w:w="11910" w:h="15880"/>
          <w:pgMar w:top="760" w:right="743" w:bottom="278" w:left="760" w:header="720" w:footer="720" w:gutter="0"/>
          <w:cols w:space="720"/>
        </w:sectPr>
      </w:pPr>
    </w:p>
    <w:p w14:paraId="15D0D6FC" w14:textId="7092AEC7" w:rsidR="002E068A" w:rsidRPr="002E068A" w:rsidRDefault="002E068A" w:rsidP="006C1B1F">
      <w:pPr>
        <w:spacing w:line="360" w:lineRule="auto"/>
        <w:ind w:left="139" w:right="38"/>
        <w:jc w:val="both"/>
        <w:rPr>
          <w:rFonts w:asciiTheme="majorHAnsi" w:hAnsiTheme="majorHAnsi"/>
          <w:i/>
          <w:sz w:val="14"/>
        </w:rPr>
      </w:pPr>
      <w:r w:rsidRPr="002E068A">
        <w:rPr>
          <w:rFonts w:asciiTheme="majorHAnsi" w:hAnsiTheme="majorHAnsi"/>
          <w:b/>
          <w:i/>
          <w:color w:val="231F20"/>
          <w:sz w:val="14"/>
        </w:rPr>
        <w:t>Correspondence*:</w:t>
      </w:r>
      <w:r w:rsidR="00516953">
        <w:rPr>
          <w:rFonts w:asciiTheme="majorHAnsi" w:hAnsiTheme="majorHAnsi"/>
          <w:b/>
          <w:i/>
          <w:color w:val="231F20"/>
          <w:sz w:val="14"/>
        </w:rPr>
        <w:t xml:space="preserve"> Herni Dwi Herawati</w:t>
      </w:r>
    </w:p>
    <w:p w14:paraId="07D44955" w14:textId="77777777" w:rsidR="002E068A" w:rsidRPr="002E068A" w:rsidRDefault="002E068A" w:rsidP="006C1B1F">
      <w:pPr>
        <w:spacing w:line="360" w:lineRule="auto"/>
        <w:ind w:left="139"/>
        <w:rPr>
          <w:rFonts w:asciiTheme="majorHAnsi" w:hAnsiTheme="majorHAnsi"/>
          <w:sz w:val="14"/>
        </w:rPr>
      </w:pPr>
      <w:r w:rsidRPr="002E068A">
        <w:rPr>
          <w:rFonts w:asciiTheme="majorHAnsi" w:hAnsiTheme="majorHAnsi"/>
        </w:rPr>
        <w:br w:type="column"/>
      </w:r>
      <w:r w:rsidRPr="002E068A">
        <w:rPr>
          <w:rFonts w:asciiTheme="majorHAnsi" w:hAnsiTheme="majorHAnsi"/>
          <w:color w:val="231F20"/>
          <w:sz w:val="14"/>
        </w:rPr>
        <w:t>Received :</w:t>
      </w:r>
    </w:p>
    <w:p w14:paraId="760DF5CD" w14:textId="77777777" w:rsidR="002E068A" w:rsidRPr="002E068A" w:rsidRDefault="002E068A" w:rsidP="006C1B1F">
      <w:pPr>
        <w:spacing w:line="360" w:lineRule="auto"/>
        <w:ind w:left="139"/>
        <w:rPr>
          <w:rFonts w:asciiTheme="majorHAnsi" w:hAnsiTheme="majorHAnsi"/>
          <w:sz w:val="14"/>
        </w:rPr>
      </w:pPr>
      <w:r w:rsidRPr="002E068A">
        <w:rPr>
          <w:rFonts w:asciiTheme="majorHAnsi" w:hAnsiTheme="majorHAnsi"/>
          <w:color w:val="231F20"/>
          <w:sz w:val="14"/>
        </w:rPr>
        <w:t xml:space="preserve">Accepted : </w:t>
      </w:r>
    </w:p>
    <w:p w14:paraId="109BB4F5" w14:textId="77777777" w:rsidR="002E068A" w:rsidRPr="002E068A" w:rsidRDefault="002E068A" w:rsidP="006C1B1F">
      <w:pPr>
        <w:spacing w:line="360" w:lineRule="auto"/>
        <w:ind w:left="139"/>
        <w:rPr>
          <w:rFonts w:asciiTheme="majorHAnsi" w:hAnsiTheme="majorHAnsi"/>
          <w:sz w:val="14"/>
        </w:rPr>
        <w:sectPr w:rsidR="002E068A" w:rsidRPr="002E068A" w:rsidSect="00CB1345">
          <w:type w:val="continuous"/>
          <w:pgSz w:w="11910" w:h="15880"/>
          <w:pgMar w:top="760" w:right="743" w:bottom="278" w:left="760" w:header="720" w:footer="720" w:gutter="0"/>
          <w:cols w:num="2" w:space="720" w:equalWidth="0">
            <w:col w:w="5010" w:space="275"/>
            <w:col w:w="5122"/>
          </w:cols>
        </w:sectPr>
      </w:pPr>
      <w:r w:rsidRPr="002E068A">
        <w:rPr>
          <w:rFonts w:asciiTheme="majorHAnsi" w:hAnsiTheme="majorHAnsi"/>
          <w:color w:val="231F20"/>
          <w:sz w:val="14"/>
        </w:rPr>
        <w:t>Published:</w:t>
      </w:r>
    </w:p>
    <w:p w14:paraId="4079DBAB" w14:textId="77777777" w:rsidR="002E068A" w:rsidRPr="002E068A" w:rsidRDefault="002E068A" w:rsidP="006C1B1F">
      <w:pPr>
        <w:pStyle w:val="BodyText"/>
        <w:spacing w:line="360" w:lineRule="auto"/>
        <w:rPr>
          <w:rFonts w:asciiTheme="majorHAnsi" w:hAnsiTheme="majorHAnsi"/>
        </w:rPr>
      </w:pPr>
    </w:p>
    <w:p w14:paraId="09B3D218" w14:textId="4BC3B92B" w:rsidR="002E068A" w:rsidRPr="002E068A" w:rsidRDefault="002E068A" w:rsidP="000B334F">
      <w:pPr>
        <w:pStyle w:val="BodyText"/>
        <w:spacing w:line="276" w:lineRule="auto"/>
        <w:ind w:left="115"/>
        <w:rPr>
          <w:rFonts w:asciiTheme="majorHAnsi" w:hAnsiTheme="majorHAnsi"/>
          <w:sz w:val="2"/>
        </w:rPr>
      </w:pPr>
      <w:r w:rsidRPr="002E068A">
        <w:rPr>
          <w:rFonts w:asciiTheme="majorHAnsi" w:hAnsiTheme="majorHAnsi"/>
          <w:noProof/>
          <w:sz w:val="2"/>
        </w:rPr>
        <mc:AlternateContent>
          <mc:Choice Requires="wpg">
            <w:drawing>
              <wp:inline distT="0" distB="0" distL="0" distR="0" wp14:anchorId="57AA1D50" wp14:editId="34335EDB">
                <wp:extent cx="647065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6350"/>
                          <a:chOff x="0" y="0"/>
                          <a:chExt cx="6470650" cy="6350"/>
                        </a:xfrm>
                      </wpg:grpSpPr>
                      <wps:wsp>
                        <wps:cNvPr id="6" name="Graphic 6"/>
                        <wps:cNvSpPr/>
                        <wps:spPr>
                          <a:xfrm>
                            <a:off x="0" y="3175"/>
                            <a:ext cx="6470650" cy="1270"/>
                          </a:xfrm>
                          <a:custGeom>
                            <a:avLst/>
                            <a:gdLst/>
                            <a:ahLst/>
                            <a:cxnLst/>
                            <a:rect l="l" t="t" r="r" b="b"/>
                            <a:pathLst>
                              <a:path w="6470650">
                                <a:moveTo>
                                  <a:pt x="0" y="0"/>
                                </a:moveTo>
                                <a:lnTo>
                                  <a:pt x="647065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101FE6B" id="Group 5" o:spid="_x0000_s1026" style="width:509.5pt;height:.5pt;mso-position-horizontal-relative:char;mso-position-vertical-relative:line" coordsize="64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">
                <v:shape id="Graphic 6" o:spid="_x0000_s1027" style="position:absolute;top:31;width:64706;height:13;visibility:visible;mso-wrap-style:square;v-text-anchor:top" coordsize="647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" path="m,l6470650,e" filled="f" strokecolor="#231f20" strokeweight=".5pt">
                  <v:path arrowok="t"/>
                </v:shape>
                <w10:anchorlock/>
              </v:group>
            </w:pict>
          </mc:Fallback>
        </mc:AlternateContent>
      </w:r>
    </w:p>
    <w:p w14:paraId="1EC06298" w14:textId="77777777" w:rsidR="007E690D" w:rsidRDefault="007E690D" w:rsidP="006C1B1F">
      <w:pPr>
        <w:pStyle w:val="Heading1"/>
        <w:spacing w:line="276" w:lineRule="auto"/>
        <w:ind w:left="0"/>
        <w:rPr>
          <w:rFonts w:asciiTheme="majorHAnsi" w:hAnsiTheme="majorHAnsi"/>
          <w:color w:val="231F20"/>
          <w:spacing w:val="-2"/>
        </w:rPr>
      </w:pPr>
    </w:p>
    <w:p w14:paraId="52DC11A2" w14:textId="76B87DD6" w:rsidR="005F358F" w:rsidRPr="002E068A" w:rsidRDefault="005F358F" w:rsidP="000B334F">
      <w:pPr>
        <w:pStyle w:val="Heading1"/>
        <w:spacing w:line="276" w:lineRule="auto"/>
        <w:ind w:left="142"/>
        <w:rPr>
          <w:rFonts w:asciiTheme="majorHAnsi" w:hAnsiTheme="majorHAnsi"/>
        </w:rPr>
      </w:pPr>
      <w:r w:rsidRPr="002E068A">
        <w:rPr>
          <w:rFonts w:asciiTheme="majorHAnsi" w:hAnsiTheme="majorHAnsi"/>
          <w:color w:val="231F20"/>
          <w:spacing w:val="-2"/>
        </w:rPr>
        <w:t>Method</w:t>
      </w:r>
      <w:r w:rsidR="002B2ABA">
        <w:rPr>
          <w:rFonts w:asciiTheme="majorHAnsi" w:hAnsiTheme="majorHAnsi"/>
          <w:color w:val="231F20"/>
          <w:spacing w:val="-2"/>
        </w:rPr>
        <w:t xml:space="preserve"> </w:t>
      </w:r>
      <w:r w:rsidR="002B2ABA" w:rsidRPr="007C42AF">
        <w:rPr>
          <w:rFonts w:asciiTheme="majorHAnsi" w:hAnsiTheme="majorHAnsi"/>
          <w:b w:val="0"/>
          <w:bCs w:val="0"/>
          <w:color w:val="231F20"/>
          <w:highlight w:val="darkGray"/>
        </w:rPr>
        <w:t>(Cambria, 10pt, 1.15 space)</w:t>
      </w:r>
    </w:p>
    <w:p w14:paraId="27136515" w14:textId="7D0C1975" w:rsidR="002E068A" w:rsidRPr="00FD5240" w:rsidRDefault="00F6074E" w:rsidP="00267FDC">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This study employed an analytical quantitative design with a cross-sectional approach. Data were collected through an online survey distributed to parent of preschool-aged children (3-6 years) residing in Indonesia. The survey was conducted using google form (in June, 2023). A total of </w:t>
      </w:r>
      <w:proofErr w:type="gramStart"/>
      <w:r w:rsidRPr="00FD5240">
        <w:rPr>
          <w:rFonts w:asciiTheme="majorHAnsi" w:hAnsiTheme="majorHAnsi"/>
          <w:color w:val="231F20"/>
          <w:sz w:val="20"/>
        </w:rPr>
        <w:t>341  responses</w:t>
      </w:r>
      <w:proofErr w:type="gramEnd"/>
      <w:r w:rsidRPr="00FD5240">
        <w:rPr>
          <w:rFonts w:asciiTheme="majorHAnsi" w:hAnsiTheme="majorHAnsi"/>
          <w:color w:val="231F20"/>
          <w:sz w:val="20"/>
        </w:rPr>
        <w:t xml:space="preserve"> were received, and after data screening and completeness checking, 325 respondents met the inclusion criteria and were included in the final analysis</w:t>
      </w:r>
      <w:r w:rsidR="00267FDC" w:rsidRPr="00FD5240">
        <w:rPr>
          <w:rFonts w:asciiTheme="majorHAnsi" w:hAnsiTheme="majorHAnsi"/>
          <w:color w:val="231F20"/>
          <w:sz w:val="20"/>
        </w:rPr>
        <w:t>. The sampling method used non-probability consecutive sampling.</w:t>
      </w:r>
    </w:p>
    <w:p w14:paraId="149586B5" w14:textId="34CAF644" w:rsidR="00A93F36" w:rsidRDefault="00267FDC" w:rsidP="00A93F36">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Data were obtained using a structured questionnaire consisting of five sections: child characteristics, caregiver information, </w:t>
      </w:r>
      <w:r w:rsidR="000F0A21" w:rsidRPr="00FD5240">
        <w:rPr>
          <w:rFonts w:asciiTheme="majorHAnsi" w:hAnsiTheme="majorHAnsi"/>
          <w:color w:val="231F20"/>
          <w:sz w:val="20"/>
        </w:rPr>
        <w:t xml:space="preserve">picky eating behaviors, </w:t>
      </w:r>
      <w:r w:rsidRPr="00FD5240">
        <w:rPr>
          <w:rFonts w:asciiTheme="majorHAnsi" w:hAnsiTheme="majorHAnsi"/>
          <w:color w:val="231F20"/>
          <w:sz w:val="20"/>
        </w:rPr>
        <w:t xml:space="preserve">feeding </w:t>
      </w:r>
      <w:proofErr w:type="spellStart"/>
      <w:r w:rsidRPr="00FD5240">
        <w:rPr>
          <w:rFonts w:asciiTheme="majorHAnsi" w:hAnsiTheme="majorHAnsi"/>
          <w:color w:val="231F20"/>
          <w:sz w:val="20"/>
        </w:rPr>
        <w:t>pratices</w:t>
      </w:r>
      <w:proofErr w:type="spellEnd"/>
      <w:r w:rsidRPr="00FD5240">
        <w:rPr>
          <w:rFonts w:asciiTheme="majorHAnsi" w:hAnsiTheme="majorHAnsi"/>
          <w:color w:val="231F20"/>
          <w:sz w:val="20"/>
        </w:rPr>
        <w:t xml:space="preserve">, health history, and anthropometric data. </w:t>
      </w:r>
      <w:r w:rsidR="00A93F36">
        <w:rPr>
          <w:rFonts w:asciiTheme="majorHAnsi" w:hAnsiTheme="majorHAnsi"/>
          <w:color w:val="231F20"/>
          <w:sz w:val="20"/>
        </w:rPr>
        <w:t xml:space="preserve">Primary caregiver type was obtained through parent self-reported, indicating the person responsible for the child’s daily at home. Caregivers were categorized into three groups: parent, other family members (grandparents, aunts, or older siblings), and </w:t>
      </w:r>
      <w:proofErr w:type="spellStart"/>
      <w:r w:rsidR="00A93F36">
        <w:rPr>
          <w:rFonts w:asciiTheme="majorHAnsi" w:hAnsiTheme="majorHAnsi"/>
          <w:color w:val="231F20"/>
          <w:sz w:val="20"/>
        </w:rPr>
        <w:t>non family</w:t>
      </w:r>
      <w:proofErr w:type="spellEnd"/>
      <w:r w:rsidR="00A93F36">
        <w:rPr>
          <w:rFonts w:asciiTheme="majorHAnsi" w:hAnsiTheme="majorHAnsi"/>
          <w:color w:val="231F20"/>
          <w:sz w:val="20"/>
        </w:rPr>
        <w:t xml:space="preserve"> care (babysitter, playgroup). For </w:t>
      </w:r>
      <w:proofErr w:type="spellStart"/>
      <w:r w:rsidR="00A93F36">
        <w:rPr>
          <w:rFonts w:asciiTheme="majorHAnsi" w:hAnsiTheme="majorHAnsi"/>
          <w:color w:val="231F20"/>
          <w:sz w:val="20"/>
        </w:rPr>
        <w:t>antropometric</w:t>
      </w:r>
      <w:proofErr w:type="spellEnd"/>
      <w:r w:rsidR="00A93F36">
        <w:rPr>
          <w:rFonts w:asciiTheme="majorHAnsi" w:hAnsiTheme="majorHAnsi"/>
          <w:color w:val="231F20"/>
          <w:sz w:val="20"/>
        </w:rPr>
        <w:t xml:space="preserve"> data were obtained from the most recent self-reported measurement of body weight and height provided by parent. BMI-for-age-</w:t>
      </w:r>
      <w:proofErr w:type="spellStart"/>
      <w:r w:rsidR="00A93F36">
        <w:rPr>
          <w:rFonts w:asciiTheme="majorHAnsi" w:hAnsiTheme="majorHAnsi"/>
          <w:color w:val="231F20"/>
          <w:sz w:val="20"/>
        </w:rPr>
        <w:t>zcore</w:t>
      </w:r>
      <w:proofErr w:type="spellEnd"/>
      <w:r w:rsidR="00A93F36">
        <w:rPr>
          <w:rFonts w:asciiTheme="majorHAnsi" w:hAnsiTheme="majorHAnsi"/>
          <w:color w:val="231F20"/>
          <w:sz w:val="20"/>
        </w:rPr>
        <w:t xml:space="preserve"> (BAZ) were calculated using WHO Anthro and </w:t>
      </w:r>
      <w:proofErr w:type="spellStart"/>
      <w:r w:rsidR="00A93F36">
        <w:rPr>
          <w:rFonts w:asciiTheme="majorHAnsi" w:hAnsiTheme="majorHAnsi"/>
          <w:color w:val="231F20"/>
          <w:sz w:val="20"/>
        </w:rPr>
        <w:t>AnthroPlus</w:t>
      </w:r>
      <w:proofErr w:type="spellEnd"/>
      <w:r w:rsidR="00A93F36">
        <w:rPr>
          <w:rFonts w:asciiTheme="majorHAnsi" w:hAnsiTheme="majorHAnsi"/>
          <w:color w:val="231F20"/>
          <w:sz w:val="20"/>
        </w:rPr>
        <w:t xml:space="preserve"> software. </w:t>
      </w:r>
    </w:p>
    <w:p w14:paraId="3EEA129F" w14:textId="2DBF07A8" w:rsidR="00835AEC" w:rsidRPr="00FD5240" w:rsidRDefault="00835AEC" w:rsidP="00A1054C">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Picky eating behavior was </w:t>
      </w:r>
      <w:proofErr w:type="spellStart"/>
      <w:r w:rsidRPr="00FD5240">
        <w:rPr>
          <w:rFonts w:asciiTheme="majorHAnsi" w:hAnsiTheme="majorHAnsi"/>
          <w:color w:val="231F20"/>
          <w:sz w:val="20"/>
        </w:rPr>
        <w:t>assesse</w:t>
      </w:r>
      <w:proofErr w:type="spellEnd"/>
      <w:r w:rsidRPr="00FD5240">
        <w:rPr>
          <w:rFonts w:asciiTheme="majorHAnsi" w:hAnsiTheme="majorHAnsi"/>
          <w:color w:val="231F20"/>
          <w:sz w:val="20"/>
        </w:rPr>
        <w:t xml:space="preserve"> using the Child Eating Behavior Questionnaire (CEBQ). The instrument consisted of items representing two major behavioral: food avoidance (satiety responsiveness, slowness in eating, and food fussiness), and food approach (food responsiveness and enjoyment of food). All items were answered using a 5-point Likert scale (1=never to 5=always).</w:t>
      </w:r>
      <w:r w:rsidR="00517517" w:rsidRPr="00FD5240">
        <w:rPr>
          <w:rFonts w:asciiTheme="majorHAnsi" w:hAnsiTheme="majorHAnsi"/>
          <w:color w:val="231F20"/>
          <w:sz w:val="20"/>
        </w:rPr>
        <w:fldChar w:fldCharType="begin" w:fldLock="1"/>
      </w:r>
      <w:r w:rsidR="006E6EA3" w:rsidRPr="00FD5240">
        <w:rPr>
          <w:rFonts w:asciiTheme="majorHAnsi" w:hAnsiTheme="majorHAnsi"/>
          <w:color w:val="231F20"/>
          <w:sz w:val="20"/>
        </w:rPr>
        <w:instrText>ADDIN CSL_CITATION {"citationItems":[{"id":"ITEM-1","itemData":{"DOI":"10.1186/1479-5868-8-134","ISSN":"1479-5868","PMID":"22152012","abstract":"BACKGROUND: The Children's Eating Behaviour Questionnaire (CEBQ) is a multi-dimensional, parent-reported questionnaire measuring children's eating behaviours related to obesity risk, i.e. 'enjoyment of food', 'food responsiveness', 'slowness in eating' and 'satiety responsiveness'. It has not previously been validated in a Swedish population, neither on children under the age of 2 years. In the present study we examined the factor structure and the reliability of the Swedish version of the CEBQ, for use in an obesity intervention programme targeting preschool children 1-6 years. Further, the associations between eating behaviours and children's age, gender and relative weight (BMI SDS) and parental weight were investigated. METHODS: Parents to 174 children aged 1-6 years (50% girls, mean age 3.8 years), recruited from five kindergartens in Stockholm, completed the Swedish version of the CEBQ. Data on children's weight and height, parental weight, height and educational level was collected. Children's relative weight was calculated for a subpopulation (mean BMI SDS -0.4, n = 47). Factorial validation (Principal Component Analysis) on all CEBQ items was performed. Differences in eating behaviours by age, gender and parental weight were examined. Correlations between eating behaviours and the child's BMI SDS were analysed controlling for age, gender, parental weight and education in linear regression analyses. RESULTS: The factor analysis revealed a seven factor solution with good psychometric properties, similar to the original structure. The behaviour scales 'overeating'/'food responsiveness', 'enjoyment of food' and 'emotional undereating' decreased with age and 'food fussiness' increased with age. Eating behaviours did not differ between girls and boys. The children's relative weight was not related to any of the eating behaviours when controlling for age, gender, parental weight and education, and only associated with parental weight status. CONCLUSIONS: Our results support the use of the CEBQ as a psychometric instrument for assessing children's eating behaviours in Swedish children aged 1-6 years. Measuring obesity related eating behaviours in longitudinal and interventional studies would offer opportunities for studying causal effects of eating behaviours in the development of obesity in children.","author":[{"dropping-particle":"","family":"Svensson","given":"Viktoria","non-dropping-particle":"","parse-names":false,"suffix":""},{"dropping-particle":"","family":"Lundborg","given":"Linda","non-dropping-particle":"","parse-names":false,"suffix":""},{"dropping-particle":"","family":"Cao","given":"Yingting","non-dropping-particle":"","parse-names":false,"suffix":""},{"dropping-particle":"","family":"Nowicka","given":"Paulina","non-dropping-particle":"","parse-names":false,"suffix":""},{"dropping-particle":"","family":"Marcus","given":"Claude","non-dropping-particle":"","parse-names":false,"suffix":""},{"dropping-particle":"","family":"Sobko","given":"Tanja","non-dropping-particle":"","parse-names":false,"suffix":""}],"container-title":"International Journal of Behavioral Nutrition and Physical Activity","id":"ITEM-1","issued":{"date-parts":[["2011"]]},"page":"134","title":"Obesity related eating behaviour patterns in Swedish preschool children and association with age, gender, relative weight and parental weight - factorial validation of the Children's Eating Behaviour Questionnaire","type":"article-journal","volume":"8"},"uris":["http://www.mendeley.com/documents/?uuid=0c1d7d49-b085-4079-9fb9-30890897cda5"]}],"mendeley":{"formattedCitation":"(Svensson et al., 2011)","plainTextFormattedCitation":"(Svensson et al., 2011)","previouslyFormattedCitation":"(Svensson et al., 2011)"},"properties":{"noteIndex":0},"schema":"https://github.com/citation-style-language/schema/raw/master/csl-citation.json"}</w:instrText>
      </w:r>
      <w:r w:rsidR="00517517" w:rsidRPr="00FD5240">
        <w:rPr>
          <w:rFonts w:asciiTheme="majorHAnsi" w:hAnsiTheme="majorHAnsi"/>
          <w:color w:val="231F20"/>
          <w:sz w:val="20"/>
        </w:rPr>
        <w:fldChar w:fldCharType="separate"/>
      </w:r>
      <w:r w:rsidR="00517517" w:rsidRPr="00FD5240">
        <w:rPr>
          <w:rFonts w:asciiTheme="majorHAnsi" w:hAnsiTheme="majorHAnsi"/>
          <w:noProof/>
          <w:color w:val="231F20"/>
          <w:sz w:val="20"/>
        </w:rPr>
        <w:t>(Svensson et al., 2011)</w:t>
      </w:r>
      <w:r w:rsidR="00517517" w:rsidRPr="00FD5240">
        <w:rPr>
          <w:rFonts w:asciiTheme="majorHAnsi" w:hAnsiTheme="majorHAnsi"/>
          <w:color w:val="231F20"/>
          <w:sz w:val="20"/>
        </w:rPr>
        <w:fldChar w:fldCharType="end"/>
      </w:r>
      <w:r w:rsidR="00517517" w:rsidRPr="00FD5240">
        <w:rPr>
          <w:rFonts w:asciiTheme="majorHAnsi" w:hAnsiTheme="majorHAnsi"/>
          <w:color w:val="231F20"/>
          <w:sz w:val="20"/>
        </w:rPr>
        <w:t xml:space="preserve"> The CEBQ used in this study was an Indonesian-adapted version, translated using forward-backward procedures and previously tested for reliability in Indonesian preschool children. Cronbach’s alpha values is 0.81, indicating good reliability.</w:t>
      </w:r>
      <w:r w:rsidR="00DB3306" w:rsidRPr="00FD5240">
        <w:rPr>
          <w:rFonts w:asciiTheme="majorHAnsi" w:hAnsiTheme="majorHAnsi"/>
          <w:color w:val="231F20"/>
          <w:sz w:val="20"/>
        </w:rPr>
        <w:fldChar w:fldCharType="begin" w:fldLock="1"/>
      </w:r>
      <w:r w:rsidR="00A1054C">
        <w:rPr>
          <w:rFonts w:asciiTheme="majorHAnsi" w:hAnsiTheme="majorHAnsi"/>
          <w:color w:val="231F20"/>
          <w:sz w:val="20"/>
        </w:rPr>
        <w:instrText>ADDIN CSL_CITATION {"citationItems":[{"id":"ITEM-1","itemData":{"author":[{"dropping-particle":"","family":"Herawati","given":"Herni Dwi","non-dropping-particle":"","parse-names":false,"suffix":""}],"id":"ITEM-1","issued":{"date-parts":[["2016"]]},"publisher":"Universitas Gadjah Mada","title":"Kecemasan pada Ibu dan Perilaku Makan pada Anak sebagai Faktor Risiko Kegemukan Anak Prasekolah di Kota Yogyakarta","type":"thesis"},"uris":["http://www.mendeley.com/documents/?uuid=d94d822d-8690-4815-9895-e42675d0e92a"]},{"id":"ITEM-2","itemData":{"DOI":"10.3889/oamjms.2022.9490","abstract":"BACKGROUND: Fruit and vegetable consumption among preschool children in Indonesia is lower than recommendations, which may be due to types of food availability at home and unhealthy feeding practices such as restriction and parent pressure. Providing nutrition education through booklets and counseling on healthy food (fruit and vegetable) consumption can help to provide information to parent’s thus resulting healthy behavior, compared to merely providing booklets without counseling. AIM: The aim of this study is to determine the effect of nutrition education using booklets with counseling versus without counseling on home food availability and parent feeding practices in preschool children. METHODS: A quasi-experimental study utilized a pre-test and post-test design with a control group. Sampling methods included both purposive sampling and simple random sampling. Purposive sampling was used to select Danurejan district as the sub-district with the highest obesity percentage in Yogyakarta Municipality. Meanwhile, simple random sampling was applied to select children and schools (Early Childhood Education Program Pendidikan Anak Usia Dini [PAUD] or kindergartens Taman Kanak-kanak [TK]). There were 56 people (28 intervention and 28 controls) taken from 4 PAUD/TK. The intervention group received nutrition education using booklets as well as one 30–60 min counseling session carried out at the participant’s home. The control group was provided with booklets, but did not receive counseling. The pre-test was carried out before nutrition education was given, and the post-test was conducted 30 days after the nutrition education. Fruit and vegetable availability at home were assessed using questionnaire, and parent feeding practices were assessed using the Comprehensive Food Feeding Questionnaire. The statistical tests used to assess outcomes between groups included pair t-test, Wilcoxon, Mann–Whitney, and independent t-test. RESULTS: There were increase in healthy eating guidance and monitoring before and after nutrition education was provided in the intervention group (p = 0.00; p &lt; 0.05), but no differences were found in restriction, child control, and parent pressure (p = 0.11, p = 0</w:instrText>
      </w:r>
      <w:r w:rsidR="00A1054C">
        <w:rPr>
          <w:rFonts w:asciiTheme="majorHAnsi" w:hAnsiTheme="majorHAnsi" w:hint="eastAsia"/>
          <w:color w:val="231F20"/>
          <w:sz w:val="20"/>
        </w:rPr>
        <w:instrText xml:space="preserve">.48, p = 0.28; p </w:instrText>
      </w:r>
      <w:r w:rsidR="00A1054C">
        <w:rPr>
          <w:rFonts w:asciiTheme="majorHAnsi" w:hAnsiTheme="majorHAnsi" w:hint="eastAsia"/>
          <w:color w:val="231F20"/>
          <w:sz w:val="20"/>
        </w:rPr>
        <w:instrText>≥</w:instrText>
      </w:r>
      <w:r w:rsidR="00A1054C">
        <w:rPr>
          <w:rFonts w:asciiTheme="majorHAnsi" w:hAnsiTheme="majorHAnsi" w:hint="eastAsia"/>
          <w:color w:val="231F20"/>
          <w:sz w:val="20"/>
        </w:rPr>
        <w:instrText xml:space="preserve"> 0.05). There was a decrease in child control behavior before and after nutrition education in the control group (p = 0.00; p &lt; 0.05), but there were no differences in healthy eating guidance, monitoring, restriction, and parent pressure</w:instrText>
      </w:r>
      <w:r w:rsidR="00A1054C">
        <w:rPr>
          <w:rFonts w:asciiTheme="majorHAnsi" w:hAnsiTheme="majorHAnsi"/>
          <w:color w:val="231F20"/>
          <w:sz w:val="20"/>
        </w:rPr>
        <w:instrText xml:space="preserve"> (p = 0.17, p = 0.18, p = …","author":[{"dropping-particle":"","family":"Herawati","given":"Herni Dwi","non-dropping-particle":"","parse-names":false,"suffix":""},{"dropping-particle":"","family":"Putri","given":"Amelia Greatika","non-dropping-particle":"","parse-names":false,"suffix":""},{"dropping-particle":"","family":"Purnamasari","given":"Yulia","non-dropping-particle":"","parse-names":false,"suffix":""},{"dropping-particle":"","family":"Rahayu","given":"Herwinda K.","non-dropping-particle":"","parse-names":false,"suffix":""},{"dropping-particle":"","family":"Triastanti","given":"Resti Kurnia","non-dropping-particle":"","parse-names":false,"suffix":""},{"dropping-particle":"","family":"Purnamasari","given":"Sintha Dewi","non-dropping-particle":"","parse-names":false,"suffix":""},{"dropping-particle":"","family":"Lestari","given":"Prasetya","non-dropping-particle":"","parse-names":false,"suffix":""}],"container-title":"Open Access Macedonian Journal of Medical Sciences","id":"ITEM-2","issue":"T8","issued":{"date-parts":[["2022"]]},"page":"160-166","title":"Nutrition education using booklet media with and without counseling and the association with home food availability and parent feeding practices in preschool children","type":"article-journal","volume":"10"},"uris":["http://www.mendeley.com/documents/?uuid=d85eca10-8696-4dbe-a1d2-c4be52afe61d"]}],"mendeley":{"formattedCitation":"(Herawati, 2016; Herawati et al., 2022)","plainTextFormattedCitation":"(Herawati, 2016; Herawati et al., 2022)","previouslyFormattedCitation":"(Herawati, 2016; Herawati et al., 2022)"},"properties":{"noteIndex":0},"schema":"https://github.com/citation-style-language/schema/raw/master/csl-citation.json"}</w:instrText>
      </w:r>
      <w:r w:rsidR="00DB3306" w:rsidRPr="00FD5240">
        <w:rPr>
          <w:rFonts w:asciiTheme="majorHAnsi" w:hAnsiTheme="majorHAnsi"/>
          <w:color w:val="231F20"/>
          <w:sz w:val="20"/>
        </w:rPr>
        <w:fldChar w:fldCharType="separate"/>
      </w:r>
      <w:r w:rsidR="00DB3306" w:rsidRPr="00FD5240">
        <w:rPr>
          <w:rFonts w:asciiTheme="majorHAnsi" w:hAnsiTheme="majorHAnsi"/>
          <w:noProof/>
          <w:color w:val="231F20"/>
          <w:sz w:val="20"/>
        </w:rPr>
        <w:t>(Herawati, 2016; Herawati et al., 2022)</w:t>
      </w:r>
      <w:r w:rsidR="00DB3306" w:rsidRPr="00FD5240">
        <w:rPr>
          <w:rFonts w:asciiTheme="majorHAnsi" w:hAnsiTheme="majorHAnsi"/>
          <w:color w:val="231F20"/>
          <w:sz w:val="20"/>
        </w:rPr>
        <w:fldChar w:fldCharType="end"/>
      </w:r>
      <w:r w:rsidR="00DB3306" w:rsidRPr="00FD5240">
        <w:rPr>
          <w:rFonts w:asciiTheme="majorHAnsi" w:hAnsiTheme="majorHAnsi"/>
          <w:color w:val="231F20"/>
          <w:sz w:val="20"/>
        </w:rPr>
        <w:t xml:space="preserve"> </w:t>
      </w:r>
      <w:r w:rsidR="00FD5240" w:rsidRPr="00FD5240">
        <w:rPr>
          <w:rFonts w:asciiTheme="majorHAnsi" w:hAnsiTheme="majorHAnsi"/>
          <w:color w:val="231F20"/>
          <w:sz w:val="20"/>
        </w:rPr>
        <w:t xml:space="preserve">The picky eating was standardized (z-score) and used classify children as picky eaters when their score was </w:t>
      </w:r>
      <w:r w:rsidR="00FD5240" w:rsidRPr="00FD5240">
        <w:rPr>
          <w:rFonts w:asciiTheme="majorHAnsi" w:hAnsiTheme="majorHAnsi"/>
          <w:sz w:val="20"/>
        </w:rPr>
        <w:t>≥ +1 SD above the sample mean</w:t>
      </w:r>
      <w:r w:rsidR="00FD5240">
        <w:rPr>
          <w:rFonts w:asciiTheme="majorHAnsi" w:hAnsiTheme="majorHAnsi"/>
          <w:sz w:val="20"/>
        </w:rPr>
        <w:t>, indicating moderate to severe picky eating, this threshold has been widely applied in previous studies using the CEBQ framework</w:t>
      </w:r>
      <w:r w:rsidR="00A1054C">
        <w:rPr>
          <w:rFonts w:asciiTheme="majorHAnsi" w:hAnsiTheme="majorHAnsi"/>
          <w:sz w:val="20"/>
        </w:rPr>
        <w:t>.</w:t>
      </w:r>
      <w:r w:rsidR="00A1054C">
        <w:rPr>
          <w:rFonts w:asciiTheme="majorHAnsi" w:hAnsiTheme="majorHAnsi"/>
          <w:sz w:val="20"/>
        </w:rPr>
        <w:fldChar w:fldCharType="begin" w:fldLock="1"/>
      </w:r>
      <w:r w:rsidR="00A1054C">
        <w:rPr>
          <w:rFonts w:asciiTheme="majorHAnsi" w:hAnsiTheme="majorHAnsi"/>
          <w:sz w:val="20"/>
        </w:rPr>
        <w:instrText>ADDIN CSL_CITATION {"citationItems":[{"id":"ITEM-1","itemData":{"DOI":"10.1016/j.appet.2015.07.026","ISSN":"0195-6663","author":[{"dropping-particle":"","family":"Taylor","given":"Caroline M","non-dropping-particle":"","parse-names":false,"suffix":""},{"dropping-particle":"","family":"Wernimont","given":"Susan M","non-dropping-particle":"","parse-names":false,"suffix":""},{"dropping-particle":"","family":"Northstone","given":"Kate","non-dropping-particle":"","parse-names":false,"suffix":""},{"dropping-particle":"","family":"Emmett","given":"Pauline M","non-dropping-particle":"","parse-names":false,"suffix":""}],"container-title":"Appetite","id":"ITEM-1","issued":{"date-parts":[["2015"]]},"page":"349-359","publisher":"Elsevier Ltd","title":"Picky/fussy eating in children : Review of definitions, assessment, prevalence and dietary intakes","type":"article-journal","volume":"95"},"uris":["http://www.mendeley.com/documents/?uuid=384f1354-8b20-4a2e-8bd2-0eac13eda543"]},{"id":"ITEM-2","itemData":{"DOI":"https://doi.org/10.1002/eat.22384","ISSN":"0276-3478","abstract":"ABSTRACT Objective ?This cohort study describes the prevalence of picky eating and examines prognostic factors for picky eating trajectories during childhood. Methods ?4,018 participants of a population-based cohort with measurements from pregnancy onwards were included. Picky eating was assessed by maternal report when children were 1.5, 3, and 6 years old. The associations of child and family characteristics with trajectories of picky eating were examined using logistic regression. Never picky eaters were used as the reference group. Results ?Prevalence of picky eating was 26.5% at 1.5 years of age, 27.6% at the age of 3 and declined to 13.2% at 6 years. Four main picky eating trajectories were defined: (1) never picky eating at all three assessments (55% of children), (2) remitting (0?4 years, 32%), (3) late-onset (6 years only, 4%), and (4) persistent (all ages, 4%). This implies that almost two thirds of the early picky eaters remitted within 3 years. Male sex, lower birth weight, non-Western maternal ethnicity, and low parental income predicted persistent picky eating. More often late-onset picky eaters were children of parents with low income and non-Western ethnicity. Discussion ?We found that nearly half (46%) of children were picky eaters at some point during early childhood. Remittance was very high. This suggests that picky eating is usually a transient behavior and part of normal development in preschool children. However, a substantial group of persistent picky eaters, often from a socially disadvantaged background, continues to have problems beyond the preschool age. ? 2015 Wiley Periodicals, Inc. (Int J Eat Disord 2015; 48:570?579)","author":[{"dropping-particle":"","family":"Cardona Cano","given":"Sebastian","non-dropping-particle":"","parse-names":false,"suffix":""},{"dropping-particle":"","family":"Tiemeier","given":"Henning","non-dropping-particle":"","parse-names":false,"suffix":""},{"dropping-particle":"","family":"Hoeken","given":"Daphne","non-dropping-particle":"Van","parse-names":false,"suffix":""},{"dropping-particle":"","family":"Tharner","given":"Anne","non-dropping-particle":"","parse-names":false,"suffix":""},{"dropping-particle":"V","family":"Jaddoe","given":"Vincent W","non-dropping-particle":"","parse-names":false,"suffix":""},{"dropping-particle":"","family":"Hofman","given":"Albert","non-dropping-particle":"","parse-names":false,"suffix":""},{"dropping-particle":"","family":"Verhulst","given":"Frank C","non-dropping-particle":"","parse-names":false,"suffix":""},{"dropping-particle":"","family":"Hoek","given":"Hans W","non-dropping-particle":"","parse-names":false,"suffix":""}],"container-title":"International Journal of Eating Disorders","id":"ITEM-2","issue":"6","issued":{"date-parts":[["2015"]]},"page":"570-579","title":"Trajectories of picky eating during childhood: A general population study","type":"article-journal","volume":"48"},"uris":["http://www.mendeley.com/documents/?uuid=6a20f87b-f45f-4b12-88c2-fd3d5a2e9483"]}],"mendeley":{"formattedCitation":"(Cardona Cano et al., 2015; Taylor et al., 2015)","plainTextFormattedCitation":"(Cardona Cano et al., 2015; Taylor et al., 2015)"},"properties":{"noteIndex":0},"schema":"https://github.com/citation-style-language/schema/raw/master/csl-citation.json"}</w:instrText>
      </w:r>
      <w:r w:rsidR="00A1054C">
        <w:rPr>
          <w:rFonts w:asciiTheme="majorHAnsi" w:hAnsiTheme="majorHAnsi"/>
          <w:sz w:val="20"/>
        </w:rPr>
        <w:fldChar w:fldCharType="separate"/>
      </w:r>
      <w:r w:rsidR="00A1054C" w:rsidRPr="00A1054C">
        <w:rPr>
          <w:rFonts w:asciiTheme="majorHAnsi" w:hAnsiTheme="majorHAnsi"/>
          <w:noProof/>
          <w:sz w:val="20"/>
        </w:rPr>
        <w:t>(Cardona Cano et al., 2015; Taylor et al., 2015)</w:t>
      </w:r>
      <w:r w:rsidR="00A1054C">
        <w:rPr>
          <w:rFonts w:asciiTheme="majorHAnsi" w:hAnsiTheme="majorHAnsi"/>
          <w:sz w:val="20"/>
        </w:rPr>
        <w:fldChar w:fldCharType="end"/>
      </w:r>
    </w:p>
    <w:p w14:paraId="54399CE2" w14:textId="5BB472DC" w:rsidR="00267FDC" w:rsidRDefault="00DD6DF0" w:rsidP="00267FDC">
      <w:pPr>
        <w:pStyle w:val="Body"/>
        <w:spacing w:line="276" w:lineRule="auto"/>
        <w:ind w:left="142"/>
        <w:rPr>
          <w:rFonts w:asciiTheme="majorHAnsi" w:hAnsiTheme="majorHAnsi"/>
          <w:color w:val="231F20"/>
          <w:sz w:val="20"/>
        </w:rPr>
      </w:pPr>
      <w:r w:rsidRPr="00FD5240">
        <w:rPr>
          <w:rFonts w:asciiTheme="majorHAnsi" w:hAnsiTheme="majorHAnsi"/>
          <w:color w:val="231F20"/>
          <w:sz w:val="20"/>
        </w:rPr>
        <w:t xml:space="preserve">Feeding </w:t>
      </w:r>
      <w:proofErr w:type="spellStart"/>
      <w:r w:rsidRPr="00FD5240">
        <w:rPr>
          <w:rFonts w:asciiTheme="majorHAnsi" w:hAnsiTheme="majorHAnsi"/>
          <w:color w:val="231F20"/>
          <w:sz w:val="20"/>
        </w:rPr>
        <w:t>pratices</w:t>
      </w:r>
      <w:proofErr w:type="spellEnd"/>
      <w:r w:rsidRPr="00FD5240">
        <w:rPr>
          <w:rFonts w:asciiTheme="majorHAnsi" w:hAnsiTheme="majorHAnsi"/>
          <w:color w:val="231F20"/>
          <w:sz w:val="20"/>
        </w:rPr>
        <w:t xml:space="preserve"> were assessed using the Comprehensive Feeding Practices Questionnaire (CFPQ) adapted from Haszard et al.</w:t>
      </w:r>
      <w:r w:rsidRPr="00FD5240">
        <w:rPr>
          <w:rFonts w:asciiTheme="majorHAnsi" w:hAnsiTheme="majorHAnsi"/>
          <w:color w:val="231F20"/>
          <w:sz w:val="20"/>
        </w:rPr>
        <w:fldChar w:fldCharType="begin" w:fldLock="1"/>
      </w:r>
      <w:r w:rsidR="004E6CBD" w:rsidRPr="00FD5240">
        <w:rPr>
          <w:rFonts w:asciiTheme="majorHAnsi" w:hAnsiTheme="majorHAnsi"/>
          <w:color w:val="231F20"/>
          <w:sz w:val="20"/>
        </w:rPr>
        <w:instrText>ADDIN CSL_CITATION {"citationItems":[{"id":"ITEM-1","itemData":{"author":[{"dropping-particle":"","family":"Haszard, Jillian J., William, S., Dawson, A.M., Skidmore, P.M., Taylor","given":"R.","non-dropping-particle":"","parse-names":false,"suffix":""}],"container-title":"Appetite","id":"ITEM-1","issued":{"date-parts":[["2013"]]},"page":"110-118","title":"Factor analysis of the Comprehensive Feeding Practices Questionnaire in a large sample of children","type":"article-journal","volume":"62"},"uris":["http://www.mendeley.com/documents/?uuid=75793e6d-8901-48b8-ac26-bb838b80a100"]}],"mendeley":{"formattedCitation":"(Haszard, Jillian J., William, S., Dawson, A.M., Skidmore, P.M., Taylor, 2013)","plainTextFormattedCitation":"(Haszard, Jillian J., William, S., Dawson, A.M., Skidmore, P.M., Taylor, 2013)","previouslyFormattedCitation":"(Haszard, Jillian J., William, S., Dawson, A.M., Skidmore, P.M., Taylor, 2013)"},"properties":{"noteIndex":0},"schema":"https://github.com/citation-style-language/schema/raw/master/csl-citation.json"}</w:instrText>
      </w:r>
      <w:r w:rsidRPr="00FD5240">
        <w:rPr>
          <w:rFonts w:asciiTheme="majorHAnsi" w:hAnsiTheme="majorHAnsi"/>
          <w:color w:val="231F20"/>
          <w:sz w:val="20"/>
        </w:rPr>
        <w:fldChar w:fldCharType="separate"/>
      </w:r>
      <w:r w:rsidRPr="00FD5240">
        <w:rPr>
          <w:rFonts w:asciiTheme="majorHAnsi" w:hAnsiTheme="majorHAnsi"/>
          <w:noProof/>
          <w:color w:val="231F20"/>
          <w:sz w:val="20"/>
        </w:rPr>
        <w:t>(Haszard, Jillian J., William, S., Dawson, A.M., Skidmore, P.M., Taylor, 2013)</w:t>
      </w:r>
      <w:r w:rsidRPr="00FD5240">
        <w:rPr>
          <w:rFonts w:asciiTheme="majorHAnsi" w:hAnsiTheme="majorHAnsi"/>
          <w:color w:val="231F20"/>
          <w:sz w:val="20"/>
        </w:rPr>
        <w:fldChar w:fldCharType="end"/>
      </w:r>
      <w:r w:rsidRPr="00FD5240">
        <w:rPr>
          <w:rFonts w:asciiTheme="majorHAnsi" w:hAnsiTheme="majorHAnsi"/>
          <w:color w:val="231F20"/>
          <w:sz w:val="20"/>
        </w:rPr>
        <w:t xml:space="preserve"> The Indonesian version used in this study consisted of 31 items covering five domains: healthy eating guidance, monitoring, restriction, parent pressure, and child control</w:t>
      </w:r>
      <w:r w:rsidR="00CA1ADC" w:rsidRPr="00FD5240">
        <w:rPr>
          <w:rFonts w:asciiTheme="majorHAnsi" w:hAnsiTheme="majorHAnsi"/>
          <w:color w:val="231F20"/>
          <w:sz w:val="20"/>
        </w:rPr>
        <w:t xml:space="preserve">. Each item was scored on a 5-poin Likert scale (1=never/strongly disagree to 5=always/strongly agree). </w:t>
      </w:r>
      <w:r w:rsidR="000F0A21" w:rsidRPr="00FD5240">
        <w:rPr>
          <w:rFonts w:asciiTheme="majorHAnsi" w:hAnsiTheme="majorHAnsi"/>
          <w:color w:val="231F20"/>
          <w:sz w:val="20"/>
        </w:rPr>
        <w:t>Across all five subscales, Cronbach’s alpha values from 0.66 to 0.93, indicating acceptable to excellent reliability.</w:t>
      </w:r>
      <w:r w:rsidR="004E6CBD" w:rsidRPr="00FD5240">
        <w:rPr>
          <w:rFonts w:asciiTheme="majorHAnsi" w:hAnsiTheme="majorHAnsi"/>
          <w:color w:val="231F20"/>
          <w:sz w:val="20"/>
        </w:rPr>
        <w:fldChar w:fldCharType="begin" w:fldLock="1"/>
      </w:r>
      <w:r w:rsidR="00517517" w:rsidRPr="00FD5240">
        <w:rPr>
          <w:rFonts w:asciiTheme="majorHAnsi" w:hAnsiTheme="majorHAnsi"/>
          <w:color w:val="231F20"/>
          <w:sz w:val="20"/>
        </w:rPr>
        <w:instrText>ADDIN CSL_CITATION {"citationItems":[{"id":"ITEM-1","itemData":{"author":[{"dropping-particle":"","family":"Yutanti","given":"Wulan Tri","non-dropping-particle":"","parse-names":false,"suffix":""}],"id":"ITEM-1","issued":{"date-parts":[["2016"]]},"publisher":"Gadjah Mada University","title":"Parental feeding pratices and food intake as risk factors for obesity in preschool children in Yogyakarta Municipality","type":"thesis"},"uris":["http://www.mendeley.com/documents/?uuid=06d988b3-b8f1-418e-b5b1-d882deea1663"]}],"mendeley":{"formattedCitation":"(Yutanti, 2016)","plainTextFormattedCitation":"(Yutanti, 2016)","previouslyFormattedCitation":"(Yutanti, 2016)"},"properties":{"noteIndex":0},"schema":"https://github.com/citation-style-language/schema/raw/master/csl-citation.json"}</w:instrText>
      </w:r>
      <w:r w:rsidR="004E6CBD" w:rsidRPr="00FD5240">
        <w:rPr>
          <w:rFonts w:asciiTheme="majorHAnsi" w:hAnsiTheme="majorHAnsi"/>
          <w:color w:val="231F20"/>
          <w:sz w:val="20"/>
        </w:rPr>
        <w:fldChar w:fldCharType="separate"/>
      </w:r>
      <w:r w:rsidR="004E6CBD" w:rsidRPr="00FD5240">
        <w:rPr>
          <w:rFonts w:asciiTheme="majorHAnsi" w:hAnsiTheme="majorHAnsi"/>
          <w:noProof/>
          <w:color w:val="231F20"/>
          <w:sz w:val="20"/>
        </w:rPr>
        <w:t>(Yutanti, 2016)</w:t>
      </w:r>
      <w:r w:rsidR="004E6CBD" w:rsidRPr="00FD5240">
        <w:rPr>
          <w:rFonts w:asciiTheme="majorHAnsi" w:hAnsiTheme="majorHAnsi"/>
          <w:color w:val="231F20"/>
          <w:sz w:val="20"/>
        </w:rPr>
        <w:fldChar w:fldCharType="end"/>
      </w:r>
    </w:p>
    <w:p w14:paraId="34A7432E" w14:textId="0D7A5A14" w:rsidR="00363DF7" w:rsidRDefault="00363DF7" w:rsidP="00267FDC">
      <w:pPr>
        <w:pStyle w:val="Body"/>
        <w:spacing w:line="276" w:lineRule="auto"/>
        <w:ind w:left="142"/>
        <w:rPr>
          <w:rFonts w:asciiTheme="majorHAnsi" w:hAnsiTheme="majorHAnsi"/>
          <w:sz w:val="20"/>
        </w:rPr>
      </w:pPr>
      <w:r>
        <w:rPr>
          <w:rFonts w:asciiTheme="majorHAnsi" w:hAnsiTheme="majorHAnsi"/>
          <w:color w:val="231F20"/>
          <w:sz w:val="20"/>
        </w:rPr>
        <w:t>Health conditions included constipation and recent infectious illness. Constipation was assessed using parent-reported indicators such as stool frequency</w:t>
      </w:r>
      <w:r w:rsidR="00F03931">
        <w:rPr>
          <w:rFonts w:asciiTheme="majorHAnsi" w:hAnsiTheme="majorHAnsi"/>
          <w:color w:val="231F20"/>
          <w:sz w:val="20"/>
        </w:rPr>
        <w:t xml:space="preserve"> &lt;3 times per week, hard or lumpy stools </w:t>
      </w:r>
      <w:proofErr w:type="spellStart"/>
      <w:r w:rsidR="00F03931">
        <w:rPr>
          <w:rFonts w:asciiTheme="majorHAnsi" w:hAnsiTheme="majorHAnsi"/>
          <w:color w:val="231F20"/>
          <w:sz w:val="20"/>
        </w:rPr>
        <w:t>absed</w:t>
      </w:r>
      <w:proofErr w:type="spellEnd"/>
      <w:r w:rsidR="00F03931">
        <w:rPr>
          <w:rFonts w:asciiTheme="majorHAnsi" w:hAnsiTheme="majorHAnsi"/>
          <w:color w:val="231F20"/>
          <w:sz w:val="20"/>
        </w:rPr>
        <w:t xml:space="preserve"> on the Bristol Stool Scale (types 1-3), straining during </w:t>
      </w:r>
      <w:proofErr w:type="spellStart"/>
      <w:r w:rsidR="00F03931">
        <w:rPr>
          <w:rFonts w:asciiTheme="majorHAnsi" w:hAnsiTheme="majorHAnsi"/>
          <w:color w:val="231F20"/>
          <w:sz w:val="20"/>
        </w:rPr>
        <w:t>defacation</w:t>
      </w:r>
      <w:proofErr w:type="spellEnd"/>
      <w:r w:rsidR="00F03931">
        <w:rPr>
          <w:rFonts w:asciiTheme="majorHAnsi" w:hAnsiTheme="majorHAnsi"/>
          <w:color w:val="231F20"/>
          <w:sz w:val="20"/>
        </w:rPr>
        <w:t xml:space="preserve">, painful </w:t>
      </w:r>
      <w:proofErr w:type="spellStart"/>
      <w:r w:rsidR="00F03931">
        <w:rPr>
          <w:rFonts w:asciiTheme="majorHAnsi" w:hAnsiTheme="majorHAnsi"/>
          <w:color w:val="231F20"/>
          <w:sz w:val="20"/>
        </w:rPr>
        <w:t>defacation</w:t>
      </w:r>
      <w:proofErr w:type="spellEnd"/>
      <w:r w:rsidR="00F03931">
        <w:rPr>
          <w:rFonts w:asciiTheme="majorHAnsi" w:hAnsiTheme="majorHAnsi"/>
          <w:color w:val="231F20"/>
          <w:sz w:val="20"/>
        </w:rPr>
        <w:t xml:space="preserve">, stool withholding behavior, passage of excessively large stools, fecal soiling, and abdominal </w:t>
      </w:r>
      <w:proofErr w:type="spellStart"/>
      <w:r w:rsidR="00F03931">
        <w:rPr>
          <w:rFonts w:asciiTheme="majorHAnsi" w:hAnsiTheme="majorHAnsi"/>
          <w:color w:val="231F20"/>
          <w:sz w:val="20"/>
        </w:rPr>
        <w:t>discompfort</w:t>
      </w:r>
      <w:proofErr w:type="spellEnd"/>
      <w:r w:rsidR="00F03931">
        <w:rPr>
          <w:rFonts w:asciiTheme="majorHAnsi" w:hAnsiTheme="majorHAnsi"/>
          <w:color w:val="231F20"/>
          <w:sz w:val="20"/>
        </w:rPr>
        <w:t xml:space="preserve"> or a sensation of incomplete evacuation. Children who met two or more </w:t>
      </w:r>
      <w:proofErr w:type="spellStart"/>
      <w:r w:rsidR="00F03931">
        <w:rPr>
          <w:rFonts w:asciiTheme="majorHAnsi" w:hAnsiTheme="majorHAnsi"/>
          <w:color w:val="231F20"/>
          <w:sz w:val="20"/>
        </w:rPr>
        <w:t>citeria</w:t>
      </w:r>
      <w:proofErr w:type="spellEnd"/>
      <w:r w:rsidR="00F03931">
        <w:rPr>
          <w:rFonts w:asciiTheme="majorHAnsi" w:hAnsiTheme="majorHAnsi"/>
          <w:color w:val="231F20"/>
          <w:sz w:val="20"/>
        </w:rPr>
        <w:t xml:space="preserve"> were classified as having </w:t>
      </w:r>
      <w:proofErr w:type="spellStart"/>
      <w:r w:rsidR="00F03931">
        <w:rPr>
          <w:rFonts w:asciiTheme="majorHAnsi" w:hAnsiTheme="majorHAnsi"/>
          <w:color w:val="231F20"/>
          <w:sz w:val="20"/>
        </w:rPr>
        <w:t>konstipastion</w:t>
      </w:r>
      <w:proofErr w:type="spellEnd"/>
      <w:r w:rsidR="00F03931">
        <w:rPr>
          <w:rFonts w:asciiTheme="majorHAnsi" w:hAnsiTheme="majorHAnsi"/>
          <w:color w:val="231F20"/>
          <w:sz w:val="20"/>
        </w:rPr>
        <w:t xml:space="preserve">, </w:t>
      </w:r>
      <w:proofErr w:type="spellStart"/>
      <w:r w:rsidR="009A4E55" w:rsidRPr="009A4E55">
        <w:rPr>
          <w:rFonts w:asciiTheme="majorHAnsi" w:hAnsiTheme="majorHAnsi"/>
          <w:sz w:val="20"/>
        </w:rPr>
        <w:t>onsistent</w:t>
      </w:r>
      <w:proofErr w:type="spellEnd"/>
      <w:r w:rsidR="009A4E55" w:rsidRPr="009A4E55">
        <w:rPr>
          <w:rFonts w:asciiTheme="majorHAnsi" w:hAnsiTheme="majorHAnsi"/>
          <w:sz w:val="20"/>
        </w:rPr>
        <w:t xml:space="preserve"> with the pediatric constipation indicators aligned with the </w:t>
      </w:r>
      <w:r w:rsidR="009A4E55" w:rsidRPr="009A4E55">
        <w:rPr>
          <w:rStyle w:val="Strong"/>
          <w:rFonts w:asciiTheme="majorHAnsi" w:hAnsiTheme="majorHAnsi"/>
          <w:b w:val="0"/>
          <w:bCs w:val="0"/>
          <w:sz w:val="20"/>
        </w:rPr>
        <w:t>Rome III/Rome IV functional constipation criteria</w:t>
      </w:r>
      <w:r w:rsidR="009A4E55" w:rsidRPr="009A4E55">
        <w:rPr>
          <w:rFonts w:asciiTheme="majorHAnsi" w:hAnsiTheme="majorHAnsi"/>
          <w:sz w:val="20"/>
        </w:rPr>
        <w:t>.</w:t>
      </w:r>
      <w:r w:rsidR="009A4E55">
        <w:rPr>
          <w:rFonts w:asciiTheme="majorHAnsi" w:hAnsiTheme="majorHAnsi"/>
          <w:sz w:val="20"/>
        </w:rPr>
        <w:t xml:space="preserve"> </w:t>
      </w:r>
      <w:r w:rsidR="00C106C4">
        <w:rPr>
          <w:rFonts w:asciiTheme="majorHAnsi" w:hAnsiTheme="majorHAnsi"/>
          <w:sz w:val="20"/>
        </w:rPr>
        <w:t>For infectious illness was obtained through parent-reported history of common childhood infections, including fever, cough, flu, sore throat, diarrhea, or other respiratory or gastrointestinal infections within the past 3 months. Responses were categorized as “yes” (at least one infection episode) or “no” (no infection).</w:t>
      </w:r>
    </w:p>
    <w:p w14:paraId="29DE5DDA" w14:textId="2D2C5F32" w:rsidR="00360904" w:rsidRPr="00313F4D" w:rsidRDefault="00360904" w:rsidP="00267FDC">
      <w:pPr>
        <w:pStyle w:val="Body"/>
        <w:spacing w:line="276" w:lineRule="auto"/>
        <w:ind w:left="142"/>
        <w:rPr>
          <w:rFonts w:asciiTheme="majorHAnsi" w:hAnsiTheme="majorHAnsi"/>
          <w:b/>
          <w:bCs/>
          <w:color w:val="231F20"/>
          <w:sz w:val="20"/>
        </w:rPr>
      </w:pPr>
      <w:r>
        <w:rPr>
          <w:rFonts w:asciiTheme="majorHAnsi" w:hAnsiTheme="majorHAnsi"/>
          <w:sz w:val="20"/>
        </w:rPr>
        <w:lastRenderedPageBreak/>
        <w:t>Data were processed using SPSS. Descriptive statistics were calculated to describe sample characteristics. Mann-Whitney, Chi-square, and Fisher’s exact tests were used in the bivariate analysis. Variables with p &lt; 0.25 then entered into logistic regression to obtain adjusted odds ratios. A p-value &lt;0.05 was considered significant.</w:t>
      </w:r>
      <w:r w:rsidR="00313F4D">
        <w:rPr>
          <w:rFonts w:asciiTheme="majorHAnsi" w:hAnsiTheme="majorHAnsi"/>
          <w:sz w:val="20"/>
        </w:rPr>
        <w:t xml:space="preserve"> </w:t>
      </w:r>
      <w:r w:rsidR="00313F4D" w:rsidRPr="00313F4D">
        <w:rPr>
          <w:rFonts w:asciiTheme="majorHAnsi" w:hAnsiTheme="majorHAnsi"/>
          <w:sz w:val="20"/>
        </w:rPr>
        <w:t>Ethical approval was obtained from the Research Ethics Committee of Universitas Alma Ata (KE/AA/VII/1011190/EC/2023).</w:t>
      </w:r>
      <w:r w:rsidR="00313F4D">
        <w:rPr>
          <w:rFonts w:asciiTheme="majorHAnsi" w:hAnsiTheme="majorHAnsi"/>
          <w:sz w:val="20"/>
        </w:rPr>
        <w:t xml:space="preserve"> </w:t>
      </w:r>
      <w:r w:rsidR="00313F4D" w:rsidRPr="00313F4D">
        <w:rPr>
          <w:rFonts w:asciiTheme="majorHAnsi" w:hAnsiTheme="majorHAnsi"/>
          <w:sz w:val="20"/>
        </w:rPr>
        <w:t>Parents received study information and provided electronic informed consent before completing the questionnaire.</w:t>
      </w:r>
    </w:p>
    <w:p w14:paraId="706B94A8" w14:textId="77777777" w:rsidR="00DD6DF0" w:rsidRPr="002E068A" w:rsidRDefault="00DD6DF0" w:rsidP="00A117A8">
      <w:pPr>
        <w:pStyle w:val="Body"/>
        <w:spacing w:line="276" w:lineRule="auto"/>
        <w:ind w:firstLine="0"/>
        <w:rPr>
          <w:rFonts w:asciiTheme="majorHAnsi" w:hAnsiTheme="majorHAnsi"/>
          <w:color w:val="231F20"/>
        </w:rPr>
      </w:pPr>
    </w:p>
    <w:p w14:paraId="2A0E28CD" w14:textId="58CB4D3A" w:rsidR="001E7870" w:rsidRDefault="001E7870" w:rsidP="000B334F">
      <w:pPr>
        <w:pStyle w:val="Heading1"/>
        <w:spacing w:line="276" w:lineRule="auto"/>
        <w:ind w:left="142"/>
        <w:rPr>
          <w:rFonts w:asciiTheme="majorHAnsi" w:hAnsiTheme="majorHAnsi"/>
          <w:b w:val="0"/>
          <w:bCs w:val="0"/>
          <w:color w:val="231F20"/>
        </w:rPr>
      </w:pPr>
      <w:r w:rsidRPr="002E068A">
        <w:rPr>
          <w:rFonts w:asciiTheme="majorHAnsi" w:hAnsiTheme="majorHAnsi"/>
          <w:color w:val="231F20"/>
          <w:spacing w:val="-2"/>
        </w:rPr>
        <w:t>Results</w:t>
      </w:r>
      <w:r w:rsidR="002B2ABA">
        <w:rPr>
          <w:rFonts w:asciiTheme="majorHAnsi" w:hAnsiTheme="majorHAnsi"/>
          <w:color w:val="231F20"/>
          <w:spacing w:val="-2"/>
        </w:rPr>
        <w:t xml:space="preserve"> </w:t>
      </w:r>
      <w:r w:rsidR="002B2ABA" w:rsidRPr="007C42AF">
        <w:rPr>
          <w:rFonts w:asciiTheme="majorHAnsi" w:hAnsiTheme="majorHAnsi"/>
          <w:b w:val="0"/>
          <w:bCs w:val="0"/>
          <w:color w:val="231F20"/>
          <w:highlight w:val="darkGray"/>
        </w:rPr>
        <w:t>(Cambria, 10pt, 1.15 space)</w:t>
      </w:r>
    </w:p>
    <w:p w14:paraId="0A5E86AF" w14:textId="0186FF29" w:rsidR="00A117A8" w:rsidRPr="00255E48" w:rsidRDefault="00F50301" w:rsidP="00F50301">
      <w:pPr>
        <w:pStyle w:val="Body"/>
        <w:spacing w:line="276" w:lineRule="auto"/>
        <w:ind w:left="142"/>
        <w:rPr>
          <w:rFonts w:asciiTheme="majorHAnsi" w:hAnsiTheme="majorHAnsi"/>
          <w:sz w:val="20"/>
        </w:rPr>
      </w:pPr>
      <w:r w:rsidRPr="00255E48">
        <w:rPr>
          <w:rFonts w:asciiTheme="majorHAnsi" w:hAnsiTheme="majorHAnsi"/>
          <w:sz w:val="20"/>
        </w:rPr>
        <w:t xml:space="preserve">A total </w:t>
      </w:r>
      <w:proofErr w:type="gramStart"/>
      <w:r w:rsidRPr="00255E48">
        <w:rPr>
          <w:rFonts w:asciiTheme="majorHAnsi" w:hAnsiTheme="majorHAnsi"/>
          <w:sz w:val="20"/>
        </w:rPr>
        <w:t>416  responses</w:t>
      </w:r>
      <w:proofErr w:type="gramEnd"/>
      <w:r w:rsidRPr="00255E48">
        <w:rPr>
          <w:rFonts w:asciiTheme="majorHAnsi" w:hAnsiTheme="majorHAnsi"/>
          <w:sz w:val="20"/>
        </w:rPr>
        <w:t xml:space="preserve"> were received during the one-month online data collection period. After data cleaning for completeness and eligibility, </w:t>
      </w:r>
      <w:r w:rsidR="00450094" w:rsidRPr="00255E48">
        <w:rPr>
          <w:rFonts w:asciiTheme="majorHAnsi" w:hAnsiTheme="majorHAnsi"/>
          <w:sz w:val="20"/>
        </w:rPr>
        <w:t xml:space="preserve">325 preschool children were included in the final analysis. Indonesia has 38 provinces, and within one month of data collection, responses were obtained from 28 provinces, representing the western (10 provinces), central (11 provinces), and eastern regions (7 provinces). </w:t>
      </w:r>
    </w:p>
    <w:p w14:paraId="487334AB" w14:textId="77777777" w:rsidR="00450094" w:rsidRPr="002E068A" w:rsidRDefault="00450094" w:rsidP="000B334F">
      <w:pPr>
        <w:pStyle w:val="Heading1"/>
        <w:spacing w:line="276" w:lineRule="auto"/>
        <w:ind w:left="142"/>
        <w:rPr>
          <w:rFonts w:asciiTheme="majorHAnsi" w:hAnsiTheme="majorHAnsi"/>
        </w:rPr>
      </w:pPr>
    </w:p>
    <w:p w14:paraId="3FB3FF4F" w14:textId="11CF4D0B" w:rsidR="007A3B11" w:rsidRPr="00202929" w:rsidRDefault="00A117A8" w:rsidP="00D859EA">
      <w:pPr>
        <w:pStyle w:val="BodyText"/>
        <w:spacing w:line="276" w:lineRule="auto"/>
        <w:ind w:right="127" w:firstLine="142"/>
        <w:jc w:val="both"/>
        <w:rPr>
          <w:rFonts w:asciiTheme="majorHAnsi" w:hAnsiTheme="majorHAnsi"/>
          <w:b/>
          <w:bCs/>
          <w:color w:val="231F20"/>
          <w:sz w:val="14"/>
          <w:szCs w:val="14"/>
        </w:rPr>
      </w:pPr>
      <w:r w:rsidRPr="00202929">
        <w:rPr>
          <w:rFonts w:asciiTheme="majorHAnsi" w:hAnsiTheme="majorHAnsi"/>
          <w:b/>
          <w:bCs/>
          <w:color w:val="231F20"/>
          <w:sz w:val="14"/>
          <w:szCs w:val="14"/>
        </w:rPr>
        <w:t>Table 1. Characteristics of Respondents</w:t>
      </w:r>
    </w:p>
    <w:tbl>
      <w:tblPr>
        <w:tblW w:w="9072" w:type="dxa"/>
        <w:tblInd w:w="142" w:type="dxa"/>
        <w:tblLook w:val="04A0" w:firstRow="1" w:lastRow="0" w:firstColumn="1" w:lastColumn="0" w:noHBand="0" w:noVBand="1"/>
      </w:tblPr>
      <w:tblGrid>
        <w:gridCol w:w="2268"/>
        <w:gridCol w:w="709"/>
        <w:gridCol w:w="660"/>
        <w:gridCol w:w="902"/>
        <w:gridCol w:w="692"/>
        <w:gridCol w:w="723"/>
        <w:gridCol w:w="695"/>
        <w:gridCol w:w="902"/>
        <w:gridCol w:w="692"/>
        <w:gridCol w:w="829"/>
      </w:tblGrid>
      <w:tr w:rsidR="00A117A8" w:rsidRPr="00A117A8" w14:paraId="35239526" w14:textId="77777777" w:rsidTr="00D859EA">
        <w:trPr>
          <w:trHeight w:val="290"/>
        </w:trPr>
        <w:tc>
          <w:tcPr>
            <w:tcW w:w="2268" w:type="dxa"/>
            <w:tcBorders>
              <w:top w:val="single" w:sz="4" w:space="0" w:color="auto"/>
              <w:left w:val="nil"/>
              <w:bottom w:val="nil"/>
              <w:right w:val="nil"/>
            </w:tcBorders>
            <w:noWrap/>
            <w:vAlign w:val="bottom"/>
            <w:hideMark/>
          </w:tcPr>
          <w:p w14:paraId="456E4287" w14:textId="77777777" w:rsidR="00A117A8" w:rsidRPr="00A117A8" w:rsidRDefault="00A117A8" w:rsidP="00D859EA">
            <w:pPr>
              <w:widowControl/>
              <w:autoSpaceDE/>
              <w:autoSpaceDN/>
              <w:spacing w:line="276" w:lineRule="auto"/>
              <w:ind w:left="-110" w:firstLine="110"/>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Characteristics</w:t>
            </w:r>
          </w:p>
        </w:tc>
        <w:tc>
          <w:tcPr>
            <w:tcW w:w="1369" w:type="dxa"/>
            <w:gridSpan w:val="2"/>
            <w:tcBorders>
              <w:top w:val="single" w:sz="4" w:space="0" w:color="auto"/>
              <w:left w:val="nil"/>
              <w:bottom w:val="nil"/>
              <w:right w:val="nil"/>
            </w:tcBorders>
            <w:noWrap/>
            <w:vAlign w:val="bottom"/>
            <w:hideMark/>
          </w:tcPr>
          <w:p w14:paraId="31FAFCD3"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All (N=325)</w:t>
            </w:r>
          </w:p>
        </w:tc>
        <w:tc>
          <w:tcPr>
            <w:tcW w:w="4606" w:type="dxa"/>
            <w:gridSpan w:val="6"/>
            <w:tcBorders>
              <w:top w:val="single" w:sz="4" w:space="0" w:color="auto"/>
              <w:left w:val="nil"/>
              <w:bottom w:val="nil"/>
              <w:right w:val="nil"/>
            </w:tcBorders>
            <w:noWrap/>
            <w:vAlign w:val="bottom"/>
            <w:hideMark/>
          </w:tcPr>
          <w:p w14:paraId="04C204F2"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Indonesia Regions</w:t>
            </w:r>
          </w:p>
        </w:tc>
        <w:tc>
          <w:tcPr>
            <w:tcW w:w="829" w:type="dxa"/>
            <w:tcBorders>
              <w:top w:val="single" w:sz="4" w:space="0" w:color="auto"/>
              <w:left w:val="nil"/>
              <w:bottom w:val="nil"/>
              <w:right w:val="nil"/>
            </w:tcBorders>
            <w:noWrap/>
            <w:vAlign w:val="bottom"/>
            <w:hideMark/>
          </w:tcPr>
          <w:p w14:paraId="224466AC" w14:textId="1866C7D1"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p</w:t>
            </w:r>
            <w:r w:rsidRPr="00D859EA">
              <w:rPr>
                <w:rFonts w:asciiTheme="majorHAnsi" w:eastAsia="Times New Roman" w:hAnsiTheme="majorHAnsi" w:cs="Calibri"/>
                <w:b/>
                <w:bCs/>
                <w:color w:val="000000"/>
                <w:sz w:val="14"/>
                <w:szCs w:val="14"/>
                <w:lang w:val="en-ID" w:eastAsia="en-ID"/>
              </w:rPr>
              <w:t>-</w:t>
            </w:r>
            <w:r w:rsidRPr="00A117A8">
              <w:rPr>
                <w:rFonts w:asciiTheme="majorHAnsi" w:eastAsia="Times New Roman" w:hAnsiTheme="majorHAnsi" w:cs="Calibri"/>
                <w:b/>
                <w:bCs/>
                <w:color w:val="000000"/>
                <w:sz w:val="14"/>
                <w:szCs w:val="14"/>
                <w:lang w:val="en-ID" w:eastAsia="en-ID"/>
              </w:rPr>
              <w:t>value</w:t>
            </w:r>
          </w:p>
        </w:tc>
      </w:tr>
      <w:tr w:rsidR="00A117A8" w:rsidRPr="00A117A8" w14:paraId="25CB22C2" w14:textId="77777777" w:rsidTr="00D859EA">
        <w:trPr>
          <w:trHeight w:val="290"/>
        </w:trPr>
        <w:tc>
          <w:tcPr>
            <w:tcW w:w="2268" w:type="dxa"/>
            <w:tcBorders>
              <w:top w:val="nil"/>
              <w:left w:val="nil"/>
              <w:bottom w:val="nil"/>
              <w:right w:val="nil"/>
            </w:tcBorders>
            <w:noWrap/>
            <w:vAlign w:val="bottom"/>
            <w:hideMark/>
          </w:tcPr>
          <w:p w14:paraId="311DA347"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c>
          <w:tcPr>
            <w:tcW w:w="709" w:type="dxa"/>
            <w:tcBorders>
              <w:top w:val="nil"/>
              <w:left w:val="nil"/>
              <w:bottom w:val="nil"/>
              <w:right w:val="nil"/>
            </w:tcBorders>
            <w:noWrap/>
            <w:vAlign w:val="bottom"/>
            <w:hideMark/>
          </w:tcPr>
          <w:p w14:paraId="590DB7C7" w14:textId="77777777" w:rsidR="00A117A8" w:rsidRPr="00A117A8" w:rsidRDefault="00A117A8" w:rsidP="00A117A8">
            <w:pPr>
              <w:widowControl/>
              <w:autoSpaceDE/>
              <w:autoSpaceDN/>
              <w:spacing w:line="276" w:lineRule="auto"/>
              <w:rPr>
                <w:rFonts w:asciiTheme="majorHAnsi" w:eastAsia="Times New Roman" w:hAnsiTheme="majorHAnsi" w:cs="Times New Roman"/>
                <w:b/>
                <w:bCs/>
                <w:sz w:val="14"/>
                <w:szCs w:val="14"/>
                <w:lang w:val="en-ID" w:eastAsia="en-ID"/>
              </w:rPr>
            </w:pPr>
          </w:p>
        </w:tc>
        <w:tc>
          <w:tcPr>
            <w:tcW w:w="660" w:type="dxa"/>
            <w:tcBorders>
              <w:top w:val="nil"/>
              <w:left w:val="nil"/>
              <w:bottom w:val="nil"/>
              <w:right w:val="nil"/>
            </w:tcBorders>
            <w:noWrap/>
            <w:vAlign w:val="bottom"/>
            <w:hideMark/>
          </w:tcPr>
          <w:p w14:paraId="7E503717"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b/>
                <w:bCs/>
                <w:sz w:val="14"/>
                <w:szCs w:val="14"/>
                <w:lang w:val="en-ID" w:eastAsia="en-ID"/>
              </w:rPr>
            </w:pPr>
          </w:p>
        </w:tc>
        <w:tc>
          <w:tcPr>
            <w:tcW w:w="1594" w:type="dxa"/>
            <w:gridSpan w:val="2"/>
            <w:tcBorders>
              <w:top w:val="nil"/>
              <w:left w:val="nil"/>
              <w:bottom w:val="single" w:sz="4" w:space="0" w:color="auto"/>
              <w:right w:val="nil"/>
            </w:tcBorders>
            <w:noWrap/>
            <w:vAlign w:val="bottom"/>
            <w:hideMark/>
          </w:tcPr>
          <w:p w14:paraId="665E597A"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East (n=40)</w:t>
            </w:r>
          </w:p>
        </w:tc>
        <w:tc>
          <w:tcPr>
            <w:tcW w:w="1418" w:type="dxa"/>
            <w:gridSpan w:val="2"/>
            <w:tcBorders>
              <w:top w:val="nil"/>
              <w:left w:val="nil"/>
              <w:bottom w:val="single" w:sz="4" w:space="0" w:color="auto"/>
              <w:right w:val="nil"/>
            </w:tcBorders>
            <w:noWrap/>
            <w:vAlign w:val="bottom"/>
            <w:hideMark/>
          </w:tcPr>
          <w:p w14:paraId="4C9B7B5B"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West (n=178)</w:t>
            </w:r>
          </w:p>
        </w:tc>
        <w:tc>
          <w:tcPr>
            <w:tcW w:w="1594" w:type="dxa"/>
            <w:gridSpan w:val="2"/>
            <w:tcBorders>
              <w:top w:val="nil"/>
              <w:left w:val="nil"/>
              <w:bottom w:val="single" w:sz="4" w:space="0" w:color="auto"/>
              <w:right w:val="nil"/>
            </w:tcBorders>
            <w:noWrap/>
            <w:vAlign w:val="bottom"/>
            <w:hideMark/>
          </w:tcPr>
          <w:p w14:paraId="03D82A54"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Central (n=109)</w:t>
            </w:r>
          </w:p>
        </w:tc>
        <w:tc>
          <w:tcPr>
            <w:tcW w:w="829" w:type="dxa"/>
            <w:tcBorders>
              <w:top w:val="nil"/>
              <w:left w:val="nil"/>
              <w:bottom w:val="nil"/>
              <w:right w:val="nil"/>
            </w:tcBorders>
            <w:noWrap/>
            <w:vAlign w:val="bottom"/>
            <w:hideMark/>
          </w:tcPr>
          <w:p w14:paraId="16DC8AF2"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r>
      <w:tr w:rsidR="00A117A8" w:rsidRPr="00A117A8" w14:paraId="55BFCB3D" w14:textId="77777777" w:rsidTr="00D859EA">
        <w:trPr>
          <w:trHeight w:val="290"/>
        </w:trPr>
        <w:tc>
          <w:tcPr>
            <w:tcW w:w="2268" w:type="dxa"/>
            <w:tcBorders>
              <w:top w:val="nil"/>
              <w:left w:val="nil"/>
              <w:bottom w:val="single" w:sz="4" w:space="0" w:color="auto"/>
              <w:right w:val="nil"/>
            </w:tcBorders>
            <w:noWrap/>
            <w:vAlign w:val="bottom"/>
            <w:hideMark/>
          </w:tcPr>
          <w:p w14:paraId="7D0132D5" w14:textId="77777777" w:rsidR="00A117A8" w:rsidRPr="00A117A8" w:rsidRDefault="00A117A8" w:rsidP="00A117A8">
            <w:pPr>
              <w:widowControl/>
              <w:autoSpaceDE/>
              <w:autoSpaceDN/>
              <w:spacing w:line="276" w:lineRule="auto"/>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 </w:t>
            </w:r>
          </w:p>
        </w:tc>
        <w:tc>
          <w:tcPr>
            <w:tcW w:w="709" w:type="dxa"/>
            <w:tcBorders>
              <w:top w:val="nil"/>
              <w:left w:val="nil"/>
              <w:bottom w:val="single" w:sz="4" w:space="0" w:color="auto"/>
              <w:right w:val="nil"/>
            </w:tcBorders>
            <w:noWrap/>
            <w:vAlign w:val="bottom"/>
            <w:hideMark/>
          </w:tcPr>
          <w:p w14:paraId="320804B9"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60" w:type="dxa"/>
            <w:tcBorders>
              <w:top w:val="nil"/>
              <w:left w:val="nil"/>
              <w:bottom w:val="single" w:sz="4" w:space="0" w:color="auto"/>
              <w:right w:val="nil"/>
            </w:tcBorders>
            <w:noWrap/>
            <w:vAlign w:val="bottom"/>
            <w:hideMark/>
          </w:tcPr>
          <w:p w14:paraId="78AA040C"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902" w:type="dxa"/>
            <w:tcBorders>
              <w:top w:val="nil"/>
              <w:left w:val="nil"/>
              <w:bottom w:val="single" w:sz="4" w:space="0" w:color="auto"/>
              <w:right w:val="nil"/>
            </w:tcBorders>
            <w:noWrap/>
            <w:vAlign w:val="bottom"/>
            <w:hideMark/>
          </w:tcPr>
          <w:p w14:paraId="2D6A2E35"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92" w:type="dxa"/>
            <w:tcBorders>
              <w:top w:val="nil"/>
              <w:left w:val="nil"/>
              <w:bottom w:val="single" w:sz="4" w:space="0" w:color="auto"/>
              <w:right w:val="nil"/>
            </w:tcBorders>
            <w:noWrap/>
            <w:vAlign w:val="bottom"/>
            <w:hideMark/>
          </w:tcPr>
          <w:p w14:paraId="5D7B65D1"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723" w:type="dxa"/>
            <w:tcBorders>
              <w:top w:val="nil"/>
              <w:left w:val="nil"/>
              <w:bottom w:val="single" w:sz="4" w:space="0" w:color="auto"/>
              <w:right w:val="nil"/>
            </w:tcBorders>
            <w:noWrap/>
            <w:vAlign w:val="bottom"/>
            <w:hideMark/>
          </w:tcPr>
          <w:p w14:paraId="61FDF677"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95" w:type="dxa"/>
            <w:tcBorders>
              <w:top w:val="nil"/>
              <w:left w:val="nil"/>
              <w:bottom w:val="single" w:sz="4" w:space="0" w:color="auto"/>
              <w:right w:val="nil"/>
            </w:tcBorders>
            <w:noWrap/>
            <w:vAlign w:val="bottom"/>
            <w:hideMark/>
          </w:tcPr>
          <w:p w14:paraId="66E51084"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902" w:type="dxa"/>
            <w:tcBorders>
              <w:top w:val="nil"/>
              <w:left w:val="nil"/>
              <w:bottom w:val="single" w:sz="4" w:space="0" w:color="auto"/>
              <w:right w:val="nil"/>
            </w:tcBorders>
            <w:noWrap/>
            <w:vAlign w:val="bottom"/>
            <w:hideMark/>
          </w:tcPr>
          <w:p w14:paraId="7CB77742"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Mean</w:t>
            </w:r>
          </w:p>
        </w:tc>
        <w:tc>
          <w:tcPr>
            <w:tcW w:w="692" w:type="dxa"/>
            <w:tcBorders>
              <w:top w:val="nil"/>
              <w:left w:val="nil"/>
              <w:bottom w:val="single" w:sz="4" w:space="0" w:color="auto"/>
              <w:right w:val="nil"/>
            </w:tcBorders>
            <w:noWrap/>
            <w:vAlign w:val="bottom"/>
            <w:hideMark/>
          </w:tcPr>
          <w:p w14:paraId="256720FB"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SD</w:t>
            </w:r>
          </w:p>
        </w:tc>
        <w:tc>
          <w:tcPr>
            <w:tcW w:w="829" w:type="dxa"/>
            <w:tcBorders>
              <w:top w:val="nil"/>
              <w:left w:val="nil"/>
              <w:bottom w:val="single" w:sz="4" w:space="0" w:color="auto"/>
              <w:right w:val="nil"/>
            </w:tcBorders>
            <w:noWrap/>
            <w:vAlign w:val="bottom"/>
            <w:hideMark/>
          </w:tcPr>
          <w:p w14:paraId="0068F65C" w14:textId="77777777" w:rsidR="00A117A8" w:rsidRPr="00A117A8" w:rsidRDefault="00A117A8" w:rsidP="00A117A8">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A117A8">
              <w:rPr>
                <w:rFonts w:asciiTheme="majorHAnsi" w:eastAsia="Times New Roman" w:hAnsiTheme="majorHAnsi" w:cs="Calibri"/>
                <w:b/>
                <w:bCs/>
                <w:color w:val="000000"/>
                <w:sz w:val="14"/>
                <w:szCs w:val="14"/>
                <w:lang w:val="en-ID" w:eastAsia="en-ID"/>
              </w:rPr>
              <w:t> </w:t>
            </w:r>
          </w:p>
        </w:tc>
      </w:tr>
      <w:tr w:rsidR="00A117A8" w:rsidRPr="00A117A8" w14:paraId="580E2378" w14:textId="77777777" w:rsidTr="00D859EA">
        <w:trPr>
          <w:trHeight w:val="290"/>
        </w:trPr>
        <w:tc>
          <w:tcPr>
            <w:tcW w:w="2268" w:type="dxa"/>
            <w:tcBorders>
              <w:top w:val="nil"/>
              <w:left w:val="nil"/>
              <w:bottom w:val="nil"/>
              <w:right w:val="nil"/>
            </w:tcBorders>
            <w:noWrap/>
            <w:vAlign w:val="bottom"/>
            <w:hideMark/>
          </w:tcPr>
          <w:p w14:paraId="39E4B64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Child age (years old)</w:t>
            </w:r>
          </w:p>
        </w:tc>
        <w:tc>
          <w:tcPr>
            <w:tcW w:w="709" w:type="dxa"/>
            <w:tcBorders>
              <w:top w:val="nil"/>
              <w:left w:val="nil"/>
              <w:bottom w:val="nil"/>
              <w:right w:val="nil"/>
            </w:tcBorders>
            <w:noWrap/>
            <w:vAlign w:val="bottom"/>
            <w:hideMark/>
          </w:tcPr>
          <w:p w14:paraId="1630D4B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660" w:type="dxa"/>
            <w:tcBorders>
              <w:top w:val="nil"/>
              <w:left w:val="nil"/>
              <w:bottom w:val="nil"/>
              <w:right w:val="nil"/>
            </w:tcBorders>
            <w:noWrap/>
            <w:vAlign w:val="bottom"/>
            <w:hideMark/>
          </w:tcPr>
          <w:p w14:paraId="6A5C9EE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w:t>
            </w:r>
          </w:p>
        </w:tc>
        <w:tc>
          <w:tcPr>
            <w:tcW w:w="902" w:type="dxa"/>
            <w:tcBorders>
              <w:top w:val="nil"/>
              <w:left w:val="nil"/>
              <w:bottom w:val="nil"/>
              <w:right w:val="nil"/>
            </w:tcBorders>
            <w:noWrap/>
            <w:vAlign w:val="bottom"/>
            <w:hideMark/>
          </w:tcPr>
          <w:p w14:paraId="7E48255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692" w:type="dxa"/>
            <w:tcBorders>
              <w:top w:val="nil"/>
              <w:left w:val="nil"/>
              <w:bottom w:val="nil"/>
              <w:right w:val="nil"/>
            </w:tcBorders>
            <w:noWrap/>
            <w:vAlign w:val="bottom"/>
            <w:hideMark/>
          </w:tcPr>
          <w:p w14:paraId="30CE0B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w:t>
            </w:r>
          </w:p>
        </w:tc>
        <w:tc>
          <w:tcPr>
            <w:tcW w:w="723" w:type="dxa"/>
            <w:tcBorders>
              <w:top w:val="nil"/>
              <w:left w:val="nil"/>
              <w:bottom w:val="nil"/>
              <w:right w:val="nil"/>
            </w:tcBorders>
            <w:noWrap/>
            <w:vAlign w:val="bottom"/>
            <w:hideMark/>
          </w:tcPr>
          <w:p w14:paraId="6B98EF5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4.7</w:t>
            </w:r>
          </w:p>
        </w:tc>
        <w:tc>
          <w:tcPr>
            <w:tcW w:w="695" w:type="dxa"/>
            <w:tcBorders>
              <w:top w:val="nil"/>
              <w:left w:val="nil"/>
              <w:bottom w:val="nil"/>
              <w:right w:val="nil"/>
            </w:tcBorders>
            <w:noWrap/>
            <w:vAlign w:val="bottom"/>
            <w:hideMark/>
          </w:tcPr>
          <w:p w14:paraId="6522FD4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w:t>
            </w:r>
          </w:p>
        </w:tc>
        <w:tc>
          <w:tcPr>
            <w:tcW w:w="902" w:type="dxa"/>
            <w:tcBorders>
              <w:top w:val="nil"/>
              <w:left w:val="nil"/>
              <w:bottom w:val="nil"/>
              <w:right w:val="nil"/>
            </w:tcBorders>
            <w:noWrap/>
            <w:vAlign w:val="bottom"/>
            <w:hideMark/>
          </w:tcPr>
          <w:p w14:paraId="0A5A6AE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4.4</w:t>
            </w:r>
          </w:p>
        </w:tc>
        <w:tc>
          <w:tcPr>
            <w:tcW w:w="692" w:type="dxa"/>
            <w:tcBorders>
              <w:top w:val="nil"/>
              <w:left w:val="nil"/>
              <w:bottom w:val="nil"/>
              <w:right w:val="nil"/>
            </w:tcBorders>
            <w:noWrap/>
            <w:vAlign w:val="bottom"/>
            <w:hideMark/>
          </w:tcPr>
          <w:p w14:paraId="49C2D90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0.9</w:t>
            </w:r>
          </w:p>
        </w:tc>
        <w:tc>
          <w:tcPr>
            <w:tcW w:w="829" w:type="dxa"/>
            <w:tcBorders>
              <w:top w:val="nil"/>
              <w:left w:val="nil"/>
              <w:bottom w:val="nil"/>
              <w:right w:val="nil"/>
            </w:tcBorders>
            <w:noWrap/>
            <w:vAlign w:val="bottom"/>
            <w:hideMark/>
          </w:tcPr>
          <w:p w14:paraId="530DEB71" w14:textId="31A83E1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0.03</w:t>
            </w:r>
            <w:r w:rsidR="00450094" w:rsidRPr="00450094">
              <w:rPr>
                <w:rFonts w:asciiTheme="majorHAnsi" w:eastAsia="Times New Roman" w:hAnsiTheme="majorHAnsi" w:cs="Calibri"/>
                <w:color w:val="000000"/>
                <w:sz w:val="14"/>
                <w:szCs w:val="14"/>
                <w:vertAlign w:val="superscript"/>
                <w:lang w:val="en-ID" w:eastAsia="en-ID"/>
              </w:rPr>
              <w:t>a</w:t>
            </w:r>
          </w:p>
        </w:tc>
      </w:tr>
      <w:tr w:rsidR="00A117A8" w:rsidRPr="00A117A8" w14:paraId="59DC087D" w14:textId="77777777" w:rsidTr="00D859EA">
        <w:trPr>
          <w:trHeight w:val="290"/>
        </w:trPr>
        <w:tc>
          <w:tcPr>
            <w:tcW w:w="2268" w:type="dxa"/>
            <w:tcBorders>
              <w:top w:val="nil"/>
              <w:left w:val="nil"/>
              <w:bottom w:val="nil"/>
              <w:right w:val="nil"/>
            </w:tcBorders>
            <w:noWrap/>
            <w:vAlign w:val="bottom"/>
            <w:hideMark/>
          </w:tcPr>
          <w:p w14:paraId="31738F2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Child gender (%)</w:t>
            </w:r>
          </w:p>
        </w:tc>
        <w:tc>
          <w:tcPr>
            <w:tcW w:w="709" w:type="dxa"/>
            <w:tcBorders>
              <w:top w:val="nil"/>
              <w:left w:val="nil"/>
              <w:bottom w:val="nil"/>
              <w:right w:val="nil"/>
            </w:tcBorders>
            <w:noWrap/>
            <w:vAlign w:val="bottom"/>
            <w:hideMark/>
          </w:tcPr>
          <w:p w14:paraId="3946CB57"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6BF3A71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7D5DF91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1928E79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5149E47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1ACED48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0BBBAEA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3A275F2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137A675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E64F69B" w14:textId="77777777" w:rsidTr="00D859EA">
        <w:trPr>
          <w:trHeight w:val="290"/>
        </w:trPr>
        <w:tc>
          <w:tcPr>
            <w:tcW w:w="2268" w:type="dxa"/>
            <w:tcBorders>
              <w:top w:val="nil"/>
              <w:left w:val="nil"/>
              <w:bottom w:val="nil"/>
              <w:right w:val="nil"/>
            </w:tcBorders>
            <w:noWrap/>
            <w:vAlign w:val="bottom"/>
            <w:hideMark/>
          </w:tcPr>
          <w:p w14:paraId="693E9BF8"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Female</w:t>
            </w:r>
          </w:p>
        </w:tc>
        <w:tc>
          <w:tcPr>
            <w:tcW w:w="709" w:type="dxa"/>
            <w:tcBorders>
              <w:top w:val="nil"/>
              <w:left w:val="nil"/>
              <w:bottom w:val="nil"/>
              <w:right w:val="nil"/>
            </w:tcBorders>
            <w:noWrap/>
            <w:vAlign w:val="bottom"/>
            <w:hideMark/>
          </w:tcPr>
          <w:p w14:paraId="21F25CE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44.8</w:t>
            </w:r>
          </w:p>
        </w:tc>
        <w:tc>
          <w:tcPr>
            <w:tcW w:w="660" w:type="dxa"/>
            <w:tcBorders>
              <w:top w:val="nil"/>
              <w:left w:val="nil"/>
              <w:bottom w:val="nil"/>
              <w:right w:val="nil"/>
            </w:tcBorders>
            <w:noWrap/>
            <w:vAlign w:val="bottom"/>
            <w:hideMark/>
          </w:tcPr>
          <w:p w14:paraId="69E2BB4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A3820F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4.9</w:t>
            </w:r>
          </w:p>
        </w:tc>
        <w:tc>
          <w:tcPr>
            <w:tcW w:w="692" w:type="dxa"/>
            <w:tcBorders>
              <w:top w:val="nil"/>
              <w:left w:val="nil"/>
              <w:bottom w:val="nil"/>
              <w:right w:val="nil"/>
            </w:tcBorders>
            <w:noWrap/>
            <w:vAlign w:val="bottom"/>
            <w:hideMark/>
          </w:tcPr>
          <w:p w14:paraId="16563D3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057810E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27.4</w:t>
            </w:r>
          </w:p>
        </w:tc>
        <w:tc>
          <w:tcPr>
            <w:tcW w:w="695" w:type="dxa"/>
            <w:tcBorders>
              <w:top w:val="nil"/>
              <w:left w:val="nil"/>
              <w:bottom w:val="nil"/>
              <w:right w:val="nil"/>
            </w:tcBorders>
            <w:noWrap/>
            <w:vAlign w:val="bottom"/>
            <w:hideMark/>
          </w:tcPr>
          <w:p w14:paraId="6A2D02D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5BD226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22.2</w:t>
            </w:r>
          </w:p>
        </w:tc>
        <w:tc>
          <w:tcPr>
            <w:tcW w:w="692" w:type="dxa"/>
            <w:tcBorders>
              <w:top w:val="nil"/>
              <w:left w:val="nil"/>
              <w:bottom w:val="nil"/>
              <w:right w:val="nil"/>
            </w:tcBorders>
            <w:noWrap/>
            <w:vAlign w:val="bottom"/>
            <w:hideMark/>
          </w:tcPr>
          <w:p w14:paraId="280D92C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2BC4F7D8" w14:textId="42C7C025"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b</w:t>
            </w:r>
          </w:p>
        </w:tc>
      </w:tr>
      <w:tr w:rsidR="00A117A8" w:rsidRPr="00A117A8" w14:paraId="4FEEE4BA" w14:textId="77777777" w:rsidTr="00D859EA">
        <w:trPr>
          <w:trHeight w:val="290"/>
        </w:trPr>
        <w:tc>
          <w:tcPr>
            <w:tcW w:w="2268" w:type="dxa"/>
            <w:tcBorders>
              <w:top w:val="nil"/>
              <w:left w:val="nil"/>
              <w:bottom w:val="nil"/>
              <w:right w:val="nil"/>
            </w:tcBorders>
            <w:noWrap/>
            <w:vAlign w:val="bottom"/>
            <w:hideMark/>
          </w:tcPr>
          <w:p w14:paraId="425569A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Male</w:t>
            </w:r>
          </w:p>
        </w:tc>
        <w:tc>
          <w:tcPr>
            <w:tcW w:w="709" w:type="dxa"/>
            <w:tcBorders>
              <w:top w:val="nil"/>
              <w:left w:val="nil"/>
              <w:bottom w:val="nil"/>
              <w:right w:val="nil"/>
            </w:tcBorders>
            <w:noWrap/>
            <w:vAlign w:val="bottom"/>
            <w:hideMark/>
          </w:tcPr>
          <w:p w14:paraId="61C41C1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37.5</w:t>
            </w:r>
          </w:p>
        </w:tc>
        <w:tc>
          <w:tcPr>
            <w:tcW w:w="660" w:type="dxa"/>
            <w:tcBorders>
              <w:top w:val="nil"/>
              <w:left w:val="nil"/>
              <w:bottom w:val="nil"/>
              <w:right w:val="nil"/>
            </w:tcBorders>
            <w:noWrap/>
            <w:vAlign w:val="bottom"/>
            <w:hideMark/>
          </w:tcPr>
          <w:p w14:paraId="3B767D1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4BA8BF6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7.1</w:t>
            </w:r>
          </w:p>
        </w:tc>
        <w:tc>
          <w:tcPr>
            <w:tcW w:w="692" w:type="dxa"/>
            <w:tcBorders>
              <w:top w:val="nil"/>
              <w:left w:val="nil"/>
              <w:bottom w:val="nil"/>
              <w:right w:val="nil"/>
            </w:tcBorders>
            <w:noWrap/>
            <w:vAlign w:val="bottom"/>
            <w:hideMark/>
          </w:tcPr>
          <w:p w14:paraId="23C4B90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4CFB01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27.1</w:t>
            </w:r>
          </w:p>
        </w:tc>
        <w:tc>
          <w:tcPr>
            <w:tcW w:w="695" w:type="dxa"/>
            <w:tcBorders>
              <w:top w:val="nil"/>
              <w:left w:val="nil"/>
              <w:bottom w:val="nil"/>
              <w:right w:val="nil"/>
            </w:tcBorders>
            <w:noWrap/>
            <w:vAlign w:val="bottom"/>
            <w:hideMark/>
          </w:tcPr>
          <w:p w14:paraId="547F3C8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040F03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11.4</w:t>
            </w:r>
          </w:p>
        </w:tc>
        <w:tc>
          <w:tcPr>
            <w:tcW w:w="692" w:type="dxa"/>
            <w:tcBorders>
              <w:top w:val="nil"/>
              <w:left w:val="nil"/>
              <w:bottom w:val="nil"/>
              <w:right w:val="nil"/>
            </w:tcBorders>
            <w:noWrap/>
            <w:vAlign w:val="bottom"/>
            <w:hideMark/>
          </w:tcPr>
          <w:p w14:paraId="464C2F2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73BA5F8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04BDC39" w14:textId="77777777" w:rsidTr="00D859EA">
        <w:trPr>
          <w:trHeight w:val="290"/>
        </w:trPr>
        <w:tc>
          <w:tcPr>
            <w:tcW w:w="2268" w:type="dxa"/>
            <w:tcBorders>
              <w:top w:val="nil"/>
              <w:left w:val="nil"/>
              <w:bottom w:val="nil"/>
              <w:right w:val="nil"/>
            </w:tcBorders>
            <w:noWrap/>
            <w:vAlign w:val="bottom"/>
            <w:hideMark/>
          </w:tcPr>
          <w:p w14:paraId="1AC99FFF"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Weight (kg)</w:t>
            </w:r>
          </w:p>
        </w:tc>
        <w:tc>
          <w:tcPr>
            <w:tcW w:w="709" w:type="dxa"/>
            <w:tcBorders>
              <w:top w:val="nil"/>
              <w:left w:val="nil"/>
              <w:bottom w:val="nil"/>
              <w:right w:val="nil"/>
            </w:tcBorders>
            <w:noWrap/>
            <w:vAlign w:val="bottom"/>
            <w:hideMark/>
          </w:tcPr>
          <w:p w14:paraId="440BA6B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17.9</w:t>
            </w:r>
          </w:p>
        </w:tc>
        <w:tc>
          <w:tcPr>
            <w:tcW w:w="660" w:type="dxa"/>
            <w:tcBorders>
              <w:top w:val="nil"/>
              <w:left w:val="nil"/>
              <w:bottom w:val="nil"/>
              <w:right w:val="nil"/>
            </w:tcBorders>
            <w:noWrap/>
            <w:vAlign w:val="bottom"/>
            <w:hideMark/>
          </w:tcPr>
          <w:p w14:paraId="0E08AE3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902" w:type="dxa"/>
            <w:tcBorders>
              <w:top w:val="nil"/>
              <w:left w:val="nil"/>
              <w:bottom w:val="nil"/>
              <w:right w:val="nil"/>
            </w:tcBorders>
            <w:noWrap/>
            <w:vAlign w:val="bottom"/>
            <w:hideMark/>
          </w:tcPr>
          <w:p w14:paraId="7E0FB8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20.0</w:t>
            </w:r>
          </w:p>
        </w:tc>
        <w:tc>
          <w:tcPr>
            <w:tcW w:w="692" w:type="dxa"/>
            <w:tcBorders>
              <w:top w:val="nil"/>
              <w:left w:val="nil"/>
              <w:bottom w:val="nil"/>
              <w:right w:val="nil"/>
            </w:tcBorders>
            <w:noWrap/>
            <w:vAlign w:val="bottom"/>
            <w:hideMark/>
          </w:tcPr>
          <w:p w14:paraId="3C36A3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5.4</w:t>
            </w:r>
          </w:p>
        </w:tc>
        <w:tc>
          <w:tcPr>
            <w:tcW w:w="723" w:type="dxa"/>
            <w:tcBorders>
              <w:top w:val="nil"/>
              <w:left w:val="nil"/>
              <w:bottom w:val="nil"/>
              <w:right w:val="nil"/>
            </w:tcBorders>
            <w:noWrap/>
            <w:vAlign w:val="bottom"/>
            <w:hideMark/>
          </w:tcPr>
          <w:p w14:paraId="173BCC1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17.1</w:t>
            </w:r>
          </w:p>
        </w:tc>
        <w:tc>
          <w:tcPr>
            <w:tcW w:w="695" w:type="dxa"/>
            <w:tcBorders>
              <w:top w:val="nil"/>
              <w:left w:val="nil"/>
              <w:bottom w:val="nil"/>
              <w:right w:val="nil"/>
            </w:tcBorders>
            <w:noWrap/>
            <w:vAlign w:val="bottom"/>
            <w:hideMark/>
          </w:tcPr>
          <w:p w14:paraId="6C112DA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902" w:type="dxa"/>
            <w:tcBorders>
              <w:top w:val="nil"/>
              <w:left w:val="nil"/>
              <w:bottom w:val="nil"/>
              <w:right w:val="nil"/>
            </w:tcBorders>
            <w:noWrap/>
            <w:vAlign w:val="bottom"/>
            <w:hideMark/>
          </w:tcPr>
          <w:p w14:paraId="6A121CD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18.4</w:t>
            </w:r>
          </w:p>
        </w:tc>
        <w:tc>
          <w:tcPr>
            <w:tcW w:w="692" w:type="dxa"/>
            <w:tcBorders>
              <w:top w:val="nil"/>
              <w:left w:val="nil"/>
              <w:bottom w:val="nil"/>
              <w:right w:val="nil"/>
            </w:tcBorders>
            <w:noWrap/>
            <w:vAlign w:val="bottom"/>
            <w:hideMark/>
          </w:tcPr>
          <w:p w14:paraId="53E9399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4.2</w:t>
            </w:r>
          </w:p>
        </w:tc>
        <w:tc>
          <w:tcPr>
            <w:tcW w:w="829" w:type="dxa"/>
            <w:tcBorders>
              <w:top w:val="nil"/>
              <w:left w:val="nil"/>
              <w:bottom w:val="nil"/>
              <w:right w:val="nil"/>
            </w:tcBorders>
            <w:noWrap/>
            <w:vAlign w:val="bottom"/>
            <w:hideMark/>
          </w:tcPr>
          <w:p w14:paraId="35538616" w14:textId="518AB2BC"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a</w:t>
            </w:r>
          </w:p>
        </w:tc>
      </w:tr>
      <w:tr w:rsidR="00A117A8" w:rsidRPr="00A117A8" w14:paraId="7BD8C657" w14:textId="77777777" w:rsidTr="00D859EA">
        <w:trPr>
          <w:trHeight w:val="290"/>
        </w:trPr>
        <w:tc>
          <w:tcPr>
            <w:tcW w:w="2268" w:type="dxa"/>
            <w:tcBorders>
              <w:top w:val="nil"/>
              <w:left w:val="nil"/>
              <w:bottom w:val="nil"/>
              <w:right w:val="nil"/>
            </w:tcBorders>
            <w:noWrap/>
            <w:vAlign w:val="bottom"/>
            <w:hideMark/>
          </w:tcPr>
          <w:p w14:paraId="594C5591"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Height (cm)</w:t>
            </w:r>
          </w:p>
        </w:tc>
        <w:tc>
          <w:tcPr>
            <w:tcW w:w="709" w:type="dxa"/>
            <w:tcBorders>
              <w:top w:val="nil"/>
              <w:left w:val="nil"/>
              <w:bottom w:val="nil"/>
              <w:right w:val="nil"/>
            </w:tcBorders>
            <w:noWrap/>
            <w:vAlign w:val="bottom"/>
            <w:hideMark/>
          </w:tcPr>
          <w:p w14:paraId="607B73D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98.6</w:t>
            </w:r>
          </w:p>
        </w:tc>
        <w:tc>
          <w:tcPr>
            <w:tcW w:w="660" w:type="dxa"/>
            <w:tcBorders>
              <w:top w:val="nil"/>
              <w:left w:val="nil"/>
              <w:bottom w:val="nil"/>
              <w:right w:val="nil"/>
            </w:tcBorders>
            <w:noWrap/>
            <w:vAlign w:val="bottom"/>
            <w:hideMark/>
          </w:tcPr>
          <w:p w14:paraId="7B18DD7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18.2</w:t>
            </w:r>
          </w:p>
        </w:tc>
        <w:tc>
          <w:tcPr>
            <w:tcW w:w="902" w:type="dxa"/>
            <w:tcBorders>
              <w:top w:val="nil"/>
              <w:left w:val="nil"/>
              <w:bottom w:val="nil"/>
              <w:right w:val="nil"/>
            </w:tcBorders>
            <w:noWrap/>
            <w:vAlign w:val="bottom"/>
            <w:hideMark/>
          </w:tcPr>
          <w:p w14:paraId="03F52BE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101.3</w:t>
            </w:r>
          </w:p>
        </w:tc>
        <w:tc>
          <w:tcPr>
            <w:tcW w:w="692" w:type="dxa"/>
            <w:tcBorders>
              <w:top w:val="nil"/>
              <w:left w:val="nil"/>
              <w:bottom w:val="nil"/>
              <w:right w:val="nil"/>
            </w:tcBorders>
            <w:noWrap/>
            <w:vAlign w:val="bottom"/>
            <w:hideMark/>
          </w:tcPr>
          <w:p w14:paraId="6FA2C2C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15.4</w:t>
            </w:r>
          </w:p>
        </w:tc>
        <w:tc>
          <w:tcPr>
            <w:tcW w:w="723" w:type="dxa"/>
            <w:tcBorders>
              <w:top w:val="nil"/>
              <w:left w:val="nil"/>
              <w:bottom w:val="nil"/>
              <w:right w:val="nil"/>
            </w:tcBorders>
            <w:noWrap/>
            <w:vAlign w:val="bottom"/>
            <w:hideMark/>
          </w:tcPr>
          <w:p w14:paraId="5217B93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101.8</w:t>
            </w:r>
          </w:p>
        </w:tc>
        <w:tc>
          <w:tcPr>
            <w:tcW w:w="695" w:type="dxa"/>
            <w:tcBorders>
              <w:top w:val="nil"/>
              <w:left w:val="nil"/>
              <w:bottom w:val="nil"/>
              <w:right w:val="nil"/>
            </w:tcBorders>
            <w:noWrap/>
            <w:vAlign w:val="bottom"/>
            <w:hideMark/>
          </w:tcPr>
          <w:p w14:paraId="73295A4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15.6</w:t>
            </w:r>
          </w:p>
        </w:tc>
        <w:tc>
          <w:tcPr>
            <w:tcW w:w="902" w:type="dxa"/>
            <w:tcBorders>
              <w:top w:val="nil"/>
              <w:left w:val="nil"/>
              <w:bottom w:val="nil"/>
              <w:right w:val="nil"/>
            </w:tcBorders>
            <w:noWrap/>
            <w:vAlign w:val="bottom"/>
            <w:hideMark/>
          </w:tcPr>
          <w:p w14:paraId="147A4EA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92.3</w:t>
            </w:r>
          </w:p>
        </w:tc>
        <w:tc>
          <w:tcPr>
            <w:tcW w:w="692" w:type="dxa"/>
            <w:tcBorders>
              <w:top w:val="nil"/>
              <w:left w:val="nil"/>
              <w:bottom w:val="nil"/>
              <w:right w:val="nil"/>
            </w:tcBorders>
            <w:noWrap/>
            <w:vAlign w:val="bottom"/>
            <w:hideMark/>
          </w:tcPr>
          <w:p w14:paraId="33295C3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21.3</w:t>
            </w:r>
          </w:p>
        </w:tc>
        <w:tc>
          <w:tcPr>
            <w:tcW w:w="829" w:type="dxa"/>
            <w:tcBorders>
              <w:top w:val="nil"/>
              <w:left w:val="nil"/>
              <w:bottom w:val="nil"/>
              <w:right w:val="nil"/>
            </w:tcBorders>
            <w:noWrap/>
            <w:vAlign w:val="bottom"/>
            <w:hideMark/>
          </w:tcPr>
          <w:p w14:paraId="54C3EFF1" w14:textId="4C99B8F1"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a</w:t>
            </w:r>
          </w:p>
        </w:tc>
      </w:tr>
      <w:tr w:rsidR="00A117A8" w:rsidRPr="00A117A8" w14:paraId="2E75B2BD" w14:textId="77777777" w:rsidTr="00D859EA">
        <w:trPr>
          <w:trHeight w:val="290"/>
        </w:trPr>
        <w:tc>
          <w:tcPr>
            <w:tcW w:w="2268" w:type="dxa"/>
            <w:tcBorders>
              <w:top w:val="nil"/>
              <w:left w:val="nil"/>
              <w:bottom w:val="nil"/>
              <w:right w:val="nil"/>
            </w:tcBorders>
            <w:noWrap/>
            <w:vAlign w:val="bottom"/>
            <w:hideMark/>
          </w:tcPr>
          <w:p w14:paraId="463DF6FC"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BMI-for-Age Z-score (BAZ)</w:t>
            </w:r>
          </w:p>
        </w:tc>
        <w:tc>
          <w:tcPr>
            <w:tcW w:w="709" w:type="dxa"/>
            <w:tcBorders>
              <w:top w:val="nil"/>
              <w:left w:val="nil"/>
              <w:bottom w:val="nil"/>
              <w:right w:val="nil"/>
            </w:tcBorders>
            <w:noWrap/>
            <w:vAlign w:val="bottom"/>
            <w:hideMark/>
          </w:tcPr>
          <w:p w14:paraId="5238F34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2.21</w:t>
            </w:r>
          </w:p>
        </w:tc>
        <w:tc>
          <w:tcPr>
            <w:tcW w:w="660" w:type="dxa"/>
            <w:tcBorders>
              <w:top w:val="nil"/>
              <w:left w:val="nil"/>
              <w:bottom w:val="nil"/>
              <w:right w:val="nil"/>
            </w:tcBorders>
            <w:noWrap/>
            <w:vAlign w:val="bottom"/>
            <w:hideMark/>
          </w:tcPr>
          <w:p w14:paraId="6DDA649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5.4</w:t>
            </w:r>
          </w:p>
        </w:tc>
        <w:tc>
          <w:tcPr>
            <w:tcW w:w="902" w:type="dxa"/>
            <w:tcBorders>
              <w:top w:val="nil"/>
              <w:left w:val="nil"/>
              <w:bottom w:val="nil"/>
              <w:right w:val="nil"/>
            </w:tcBorders>
            <w:noWrap/>
            <w:vAlign w:val="bottom"/>
            <w:hideMark/>
          </w:tcPr>
          <w:p w14:paraId="6E52586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3.2</w:t>
            </w:r>
          </w:p>
        </w:tc>
        <w:tc>
          <w:tcPr>
            <w:tcW w:w="692" w:type="dxa"/>
            <w:tcBorders>
              <w:top w:val="nil"/>
              <w:left w:val="nil"/>
              <w:bottom w:val="nil"/>
              <w:right w:val="nil"/>
            </w:tcBorders>
            <w:noWrap/>
            <w:vAlign w:val="bottom"/>
            <w:hideMark/>
          </w:tcPr>
          <w:p w14:paraId="6816A6B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w:t>
            </w:r>
          </w:p>
        </w:tc>
        <w:tc>
          <w:tcPr>
            <w:tcW w:w="723" w:type="dxa"/>
            <w:tcBorders>
              <w:top w:val="nil"/>
              <w:left w:val="nil"/>
              <w:bottom w:val="nil"/>
              <w:right w:val="nil"/>
            </w:tcBorders>
            <w:noWrap/>
            <w:vAlign w:val="bottom"/>
            <w:hideMark/>
          </w:tcPr>
          <w:p w14:paraId="4806639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0.5</w:t>
            </w:r>
          </w:p>
        </w:tc>
        <w:tc>
          <w:tcPr>
            <w:tcW w:w="695" w:type="dxa"/>
            <w:tcBorders>
              <w:top w:val="nil"/>
              <w:left w:val="nil"/>
              <w:bottom w:val="nil"/>
              <w:right w:val="nil"/>
            </w:tcBorders>
            <w:noWrap/>
            <w:vAlign w:val="bottom"/>
            <w:hideMark/>
          </w:tcPr>
          <w:p w14:paraId="3828738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3.2</w:t>
            </w:r>
          </w:p>
        </w:tc>
        <w:tc>
          <w:tcPr>
            <w:tcW w:w="902" w:type="dxa"/>
            <w:tcBorders>
              <w:top w:val="nil"/>
              <w:left w:val="nil"/>
              <w:bottom w:val="nil"/>
              <w:right w:val="nil"/>
            </w:tcBorders>
            <w:noWrap/>
            <w:vAlign w:val="bottom"/>
            <w:hideMark/>
          </w:tcPr>
          <w:p w14:paraId="02E4AE5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w:t>
            </w:r>
          </w:p>
        </w:tc>
        <w:tc>
          <w:tcPr>
            <w:tcW w:w="692" w:type="dxa"/>
            <w:tcBorders>
              <w:top w:val="nil"/>
              <w:left w:val="nil"/>
              <w:bottom w:val="nil"/>
              <w:right w:val="nil"/>
            </w:tcBorders>
            <w:noWrap/>
            <w:vAlign w:val="bottom"/>
            <w:hideMark/>
          </w:tcPr>
          <w:p w14:paraId="1A008D6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6.9</w:t>
            </w:r>
          </w:p>
        </w:tc>
        <w:tc>
          <w:tcPr>
            <w:tcW w:w="829" w:type="dxa"/>
            <w:tcBorders>
              <w:top w:val="nil"/>
              <w:left w:val="nil"/>
              <w:bottom w:val="nil"/>
              <w:right w:val="nil"/>
            </w:tcBorders>
            <w:noWrap/>
            <w:vAlign w:val="bottom"/>
            <w:hideMark/>
          </w:tcPr>
          <w:p w14:paraId="223D8DCD" w14:textId="2B639221"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a</w:t>
            </w:r>
          </w:p>
        </w:tc>
      </w:tr>
      <w:tr w:rsidR="00A117A8" w:rsidRPr="00A117A8" w14:paraId="7200BB84" w14:textId="77777777" w:rsidTr="00D859EA">
        <w:trPr>
          <w:trHeight w:val="290"/>
        </w:trPr>
        <w:tc>
          <w:tcPr>
            <w:tcW w:w="2268" w:type="dxa"/>
            <w:tcBorders>
              <w:top w:val="nil"/>
              <w:left w:val="nil"/>
              <w:bottom w:val="nil"/>
              <w:right w:val="nil"/>
            </w:tcBorders>
            <w:noWrap/>
            <w:vAlign w:val="bottom"/>
            <w:hideMark/>
          </w:tcPr>
          <w:p w14:paraId="7456B826"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Mother age</w:t>
            </w:r>
          </w:p>
        </w:tc>
        <w:tc>
          <w:tcPr>
            <w:tcW w:w="709" w:type="dxa"/>
            <w:tcBorders>
              <w:top w:val="nil"/>
              <w:left w:val="nil"/>
              <w:bottom w:val="nil"/>
              <w:right w:val="nil"/>
            </w:tcBorders>
            <w:noWrap/>
            <w:vAlign w:val="bottom"/>
            <w:hideMark/>
          </w:tcPr>
          <w:p w14:paraId="3DE392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33.3</w:t>
            </w:r>
          </w:p>
        </w:tc>
        <w:tc>
          <w:tcPr>
            <w:tcW w:w="660" w:type="dxa"/>
            <w:tcBorders>
              <w:top w:val="nil"/>
              <w:left w:val="nil"/>
              <w:bottom w:val="nil"/>
              <w:right w:val="nil"/>
            </w:tcBorders>
            <w:noWrap/>
            <w:vAlign w:val="bottom"/>
            <w:hideMark/>
          </w:tcPr>
          <w:p w14:paraId="5E79F1B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6.2</w:t>
            </w:r>
          </w:p>
        </w:tc>
        <w:tc>
          <w:tcPr>
            <w:tcW w:w="902" w:type="dxa"/>
            <w:tcBorders>
              <w:top w:val="nil"/>
              <w:left w:val="nil"/>
              <w:bottom w:val="nil"/>
              <w:right w:val="nil"/>
            </w:tcBorders>
            <w:noWrap/>
            <w:vAlign w:val="bottom"/>
            <w:hideMark/>
          </w:tcPr>
          <w:p w14:paraId="073B69D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31.6</w:t>
            </w:r>
          </w:p>
        </w:tc>
        <w:tc>
          <w:tcPr>
            <w:tcW w:w="692" w:type="dxa"/>
            <w:tcBorders>
              <w:top w:val="nil"/>
              <w:left w:val="nil"/>
              <w:bottom w:val="nil"/>
              <w:right w:val="nil"/>
            </w:tcBorders>
            <w:noWrap/>
            <w:vAlign w:val="bottom"/>
            <w:hideMark/>
          </w:tcPr>
          <w:p w14:paraId="0D589EA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3.7</w:t>
            </w:r>
          </w:p>
        </w:tc>
        <w:tc>
          <w:tcPr>
            <w:tcW w:w="723" w:type="dxa"/>
            <w:tcBorders>
              <w:top w:val="nil"/>
              <w:left w:val="nil"/>
              <w:bottom w:val="nil"/>
              <w:right w:val="nil"/>
            </w:tcBorders>
            <w:noWrap/>
            <w:vAlign w:val="bottom"/>
            <w:hideMark/>
          </w:tcPr>
          <w:p w14:paraId="1BCB009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33.1</w:t>
            </w:r>
          </w:p>
        </w:tc>
        <w:tc>
          <w:tcPr>
            <w:tcW w:w="695" w:type="dxa"/>
            <w:tcBorders>
              <w:top w:val="nil"/>
              <w:left w:val="nil"/>
              <w:bottom w:val="nil"/>
              <w:right w:val="nil"/>
            </w:tcBorders>
            <w:noWrap/>
            <w:vAlign w:val="bottom"/>
            <w:hideMark/>
          </w:tcPr>
          <w:p w14:paraId="55E2D38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7.4</w:t>
            </w:r>
          </w:p>
        </w:tc>
        <w:tc>
          <w:tcPr>
            <w:tcW w:w="902" w:type="dxa"/>
            <w:tcBorders>
              <w:top w:val="nil"/>
              <w:left w:val="nil"/>
              <w:bottom w:val="nil"/>
              <w:right w:val="nil"/>
            </w:tcBorders>
            <w:noWrap/>
            <w:vAlign w:val="bottom"/>
            <w:hideMark/>
          </w:tcPr>
          <w:p w14:paraId="79DAF6F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34.2</w:t>
            </w:r>
          </w:p>
        </w:tc>
        <w:tc>
          <w:tcPr>
            <w:tcW w:w="692" w:type="dxa"/>
            <w:tcBorders>
              <w:top w:val="nil"/>
              <w:left w:val="nil"/>
              <w:bottom w:val="nil"/>
              <w:right w:val="nil"/>
            </w:tcBorders>
            <w:noWrap/>
            <w:vAlign w:val="bottom"/>
            <w:hideMark/>
          </w:tcPr>
          <w:p w14:paraId="6040DEF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4.4</w:t>
            </w:r>
          </w:p>
        </w:tc>
        <w:tc>
          <w:tcPr>
            <w:tcW w:w="829" w:type="dxa"/>
            <w:tcBorders>
              <w:top w:val="nil"/>
              <w:left w:val="nil"/>
              <w:bottom w:val="nil"/>
              <w:right w:val="nil"/>
            </w:tcBorders>
            <w:noWrap/>
            <w:vAlign w:val="bottom"/>
            <w:hideMark/>
          </w:tcPr>
          <w:p w14:paraId="33B641A2" w14:textId="14A36FE0"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a</w:t>
            </w:r>
          </w:p>
        </w:tc>
      </w:tr>
      <w:tr w:rsidR="00A117A8" w:rsidRPr="00A117A8" w14:paraId="05A3A736" w14:textId="77777777" w:rsidTr="00D859EA">
        <w:trPr>
          <w:trHeight w:val="290"/>
        </w:trPr>
        <w:tc>
          <w:tcPr>
            <w:tcW w:w="2268" w:type="dxa"/>
            <w:tcBorders>
              <w:top w:val="nil"/>
              <w:left w:val="nil"/>
              <w:bottom w:val="nil"/>
              <w:right w:val="nil"/>
            </w:tcBorders>
            <w:noWrap/>
            <w:vAlign w:val="bottom"/>
            <w:hideMark/>
          </w:tcPr>
          <w:p w14:paraId="2126A4BA"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Father age</w:t>
            </w:r>
          </w:p>
        </w:tc>
        <w:tc>
          <w:tcPr>
            <w:tcW w:w="709" w:type="dxa"/>
            <w:tcBorders>
              <w:top w:val="nil"/>
              <w:left w:val="nil"/>
              <w:bottom w:val="nil"/>
              <w:right w:val="nil"/>
            </w:tcBorders>
            <w:noWrap/>
            <w:vAlign w:val="bottom"/>
            <w:hideMark/>
          </w:tcPr>
          <w:p w14:paraId="628A2B1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35.8</w:t>
            </w:r>
          </w:p>
        </w:tc>
        <w:tc>
          <w:tcPr>
            <w:tcW w:w="660" w:type="dxa"/>
            <w:tcBorders>
              <w:top w:val="nil"/>
              <w:left w:val="nil"/>
              <w:bottom w:val="nil"/>
              <w:right w:val="nil"/>
            </w:tcBorders>
            <w:noWrap/>
            <w:vAlign w:val="bottom"/>
            <w:hideMark/>
          </w:tcPr>
          <w:p w14:paraId="69A4020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4.9</w:t>
            </w:r>
          </w:p>
        </w:tc>
        <w:tc>
          <w:tcPr>
            <w:tcW w:w="902" w:type="dxa"/>
            <w:tcBorders>
              <w:top w:val="nil"/>
              <w:left w:val="nil"/>
              <w:bottom w:val="nil"/>
              <w:right w:val="nil"/>
            </w:tcBorders>
            <w:noWrap/>
            <w:vAlign w:val="bottom"/>
            <w:hideMark/>
          </w:tcPr>
          <w:p w14:paraId="53EF676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34.2</w:t>
            </w:r>
          </w:p>
        </w:tc>
        <w:tc>
          <w:tcPr>
            <w:tcW w:w="692" w:type="dxa"/>
            <w:tcBorders>
              <w:top w:val="nil"/>
              <w:left w:val="nil"/>
              <w:bottom w:val="nil"/>
              <w:right w:val="nil"/>
            </w:tcBorders>
            <w:noWrap/>
            <w:vAlign w:val="bottom"/>
            <w:hideMark/>
          </w:tcPr>
          <w:p w14:paraId="225E49C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3.8</w:t>
            </w:r>
          </w:p>
        </w:tc>
        <w:tc>
          <w:tcPr>
            <w:tcW w:w="723" w:type="dxa"/>
            <w:tcBorders>
              <w:top w:val="nil"/>
              <w:left w:val="nil"/>
              <w:bottom w:val="nil"/>
              <w:right w:val="nil"/>
            </w:tcBorders>
            <w:noWrap/>
            <w:vAlign w:val="bottom"/>
            <w:hideMark/>
          </w:tcPr>
          <w:p w14:paraId="164171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35.7</w:t>
            </w:r>
          </w:p>
        </w:tc>
        <w:tc>
          <w:tcPr>
            <w:tcW w:w="695" w:type="dxa"/>
            <w:tcBorders>
              <w:top w:val="nil"/>
              <w:left w:val="nil"/>
              <w:bottom w:val="nil"/>
              <w:right w:val="nil"/>
            </w:tcBorders>
            <w:noWrap/>
            <w:vAlign w:val="bottom"/>
            <w:hideMark/>
          </w:tcPr>
          <w:p w14:paraId="67A9080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5.2</w:t>
            </w:r>
          </w:p>
        </w:tc>
        <w:tc>
          <w:tcPr>
            <w:tcW w:w="902" w:type="dxa"/>
            <w:tcBorders>
              <w:top w:val="nil"/>
              <w:left w:val="nil"/>
              <w:bottom w:val="nil"/>
              <w:right w:val="nil"/>
            </w:tcBorders>
            <w:noWrap/>
            <w:vAlign w:val="bottom"/>
            <w:hideMark/>
          </w:tcPr>
          <w:p w14:paraId="5AA720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36.6</w:t>
            </w:r>
          </w:p>
        </w:tc>
        <w:tc>
          <w:tcPr>
            <w:tcW w:w="692" w:type="dxa"/>
            <w:tcBorders>
              <w:top w:val="nil"/>
              <w:left w:val="nil"/>
              <w:bottom w:val="nil"/>
              <w:right w:val="nil"/>
            </w:tcBorders>
            <w:noWrap/>
            <w:vAlign w:val="bottom"/>
            <w:hideMark/>
          </w:tcPr>
          <w:p w14:paraId="58A08F3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4.5</w:t>
            </w:r>
          </w:p>
        </w:tc>
        <w:tc>
          <w:tcPr>
            <w:tcW w:w="829" w:type="dxa"/>
            <w:tcBorders>
              <w:top w:val="nil"/>
              <w:left w:val="nil"/>
              <w:bottom w:val="nil"/>
              <w:right w:val="nil"/>
            </w:tcBorders>
            <w:noWrap/>
            <w:vAlign w:val="bottom"/>
            <w:hideMark/>
          </w:tcPr>
          <w:p w14:paraId="22A3EC0E" w14:textId="07C972D4"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0.02</w:t>
            </w:r>
            <w:r w:rsidR="00450094" w:rsidRPr="00450094">
              <w:rPr>
                <w:rFonts w:asciiTheme="majorHAnsi" w:eastAsia="Times New Roman" w:hAnsiTheme="majorHAnsi" w:cs="Calibri"/>
                <w:color w:val="000000"/>
                <w:sz w:val="14"/>
                <w:szCs w:val="14"/>
                <w:vertAlign w:val="superscript"/>
                <w:lang w:val="en-ID" w:eastAsia="en-ID"/>
              </w:rPr>
              <w:t xml:space="preserve"> a</w:t>
            </w:r>
          </w:p>
        </w:tc>
      </w:tr>
      <w:tr w:rsidR="00A117A8" w:rsidRPr="00A117A8" w14:paraId="65F4796D" w14:textId="77777777" w:rsidTr="00D859EA">
        <w:trPr>
          <w:trHeight w:val="290"/>
        </w:trPr>
        <w:tc>
          <w:tcPr>
            <w:tcW w:w="2268" w:type="dxa"/>
            <w:tcBorders>
              <w:top w:val="nil"/>
              <w:left w:val="nil"/>
              <w:bottom w:val="nil"/>
              <w:right w:val="nil"/>
            </w:tcBorders>
            <w:noWrap/>
            <w:vAlign w:val="bottom"/>
            <w:hideMark/>
          </w:tcPr>
          <w:p w14:paraId="72527916"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Picky eating (%)</w:t>
            </w:r>
          </w:p>
        </w:tc>
        <w:tc>
          <w:tcPr>
            <w:tcW w:w="709" w:type="dxa"/>
            <w:tcBorders>
              <w:top w:val="nil"/>
              <w:left w:val="nil"/>
              <w:bottom w:val="nil"/>
              <w:right w:val="nil"/>
            </w:tcBorders>
            <w:noWrap/>
            <w:vAlign w:val="bottom"/>
            <w:hideMark/>
          </w:tcPr>
          <w:p w14:paraId="60FC4337"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48AB897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77C691E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17D8DAD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754FFDF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18CEA56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4AAB3A0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25DD01F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2AA062A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2025C280" w14:textId="77777777" w:rsidTr="00D859EA">
        <w:trPr>
          <w:trHeight w:val="290"/>
        </w:trPr>
        <w:tc>
          <w:tcPr>
            <w:tcW w:w="2268" w:type="dxa"/>
            <w:tcBorders>
              <w:top w:val="nil"/>
              <w:left w:val="nil"/>
              <w:bottom w:val="nil"/>
              <w:right w:val="nil"/>
            </w:tcBorders>
            <w:noWrap/>
            <w:vAlign w:val="bottom"/>
            <w:hideMark/>
          </w:tcPr>
          <w:p w14:paraId="6EE33A9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No</w:t>
            </w:r>
          </w:p>
        </w:tc>
        <w:tc>
          <w:tcPr>
            <w:tcW w:w="709" w:type="dxa"/>
            <w:tcBorders>
              <w:top w:val="nil"/>
              <w:left w:val="nil"/>
              <w:bottom w:val="nil"/>
              <w:right w:val="nil"/>
            </w:tcBorders>
            <w:noWrap/>
            <w:vAlign w:val="bottom"/>
            <w:hideMark/>
          </w:tcPr>
          <w:p w14:paraId="1E4C881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85.2</w:t>
            </w:r>
          </w:p>
        </w:tc>
        <w:tc>
          <w:tcPr>
            <w:tcW w:w="660" w:type="dxa"/>
            <w:tcBorders>
              <w:top w:val="nil"/>
              <w:left w:val="nil"/>
              <w:bottom w:val="nil"/>
              <w:right w:val="nil"/>
            </w:tcBorders>
            <w:noWrap/>
            <w:vAlign w:val="bottom"/>
            <w:hideMark/>
          </w:tcPr>
          <w:p w14:paraId="790D489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0DA6ED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79.5</w:t>
            </w:r>
          </w:p>
        </w:tc>
        <w:tc>
          <w:tcPr>
            <w:tcW w:w="692" w:type="dxa"/>
            <w:tcBorders>
              <w:top w:val="nil"/>
              <w:left w:val="nil"/>
              <w:bottom w:val="nil"/>
              <w:right w:val="nil"/>
            </w:tcBorders>
            <w:noWrap/>
            <w:vAlign w:val="bottom"/>
            <w:hideMark/>
          </w:tcPr>
          <w:p w14:paraId="57F3F74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4562AD2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84.7</w:t>
            </w:r>
          </w:p>
        </w:tc>
        <w:tc>
          <w:tcPr>
            <w:tcW w:w="695" w:type="dxa"/>
            <w:tcBorders>
              <w:top w:val="nil"/>
              <w:left w:val="nil"/>
              <w:bottom w:val="nil"/>
              <w:right w:val="nil"/>
            </w:tcBorders>
            <w:noWrap/>
            <w:vAlign w:val="bottom"/>
            <w:hideMark/>
          </w:tcPr>
          <w:p w14:paraId="7599476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1455D20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88.1</w:t>
            </w:r>
          </w:p>
        </w:tc>
        <w:tc>
          <w:tcPr>
            <w:tcW w:w="692" w:type="dxa"/>
            <w:tcBorders>
              <w:top w:val="nil"/>
              <w:left w:val="nil"/>
              <w:bottom w:val="nil"/>
              <w:right w:val="nil"/>
            </w:tcBorders>
            <w:noWrap/>
            <w:vAlign w:val="bottom"/>
            <w:hideMark/>
          </w:tcPr>
          <w:p w14:paraId="3B68121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2289EBBF" w14:textId="28A7D354"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0.41</w:t>
            </w:r>
            <w:r w:rsidR="00450094" w:rsidRPr="00450094">
              <w:rPr>
                <w:rFonts w:asciiTheme="majorHAnsi" w:eastAsia="Times New Roman" w:hAnsiTheme="majorHAnsi" w:cs="Calibri"/>
                <w:color w:val="000000"/>
                <w:sz w:val="14"/>
                <w:szCs w:val="14"/>
                <w:vertAlign w:val="superscript"/>
                <w:lang w:val="en-ID" w:eastAsia="en-ID"/>
              </w:rPr>
              <w:t xml:space="preserve"> b</w:t>
            </w:r>
          </w:p>
        </w:tc>
      </w:tr>
      <w:tr w:rsidR="00A117A8" w:rsidRPr="00A117A8" w14:paraId="57D123B9" w14:textId="77777777" w:rsidTr="00D859EA">
        <w:trPr>
          <w:trHeight w:val="290"/>
        </w:trPr>
        <w:tc>
          <w:tcPr>
            <w:tcW w:w="2268" w:type="dxa"/>
            <w:tcBorders>
              <w:top w:val="nil"/>
              <w:left w:val="nil"/>
              <w:bottom w:val="nil"/>
              <w:right w:val="nil"/>
            </w:tcBorders>
            <w:noWrap/>
            <w:vAlign w:val="bottom"/>
            <w:hideMark/>
          </w:tcPr>
          <w:p w14:paraId="63A3603F"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Yes</w:t>
            </w:r>
          </w:p>
        </w:tc>
        <w:tc>
          <w:tcPr>
            <w:tcW w:w="709" w:type="dxa"/>
            <w:tcBorders>
              <w:top w:val="nil"/>
              <w:left w:val="nil"/>
              <w:bottom w:val="nil"/>
              <w:right w:val="nil"/>
            </w:tcBorders>
            <w:noWrap/>
            <w:vAlign w:val="bottom"/>
            <w:hideMark/>
          </w:tcPr>
          <w:p w14:paraId="0DB030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14.8</w:t>
            </w:r>
          </w:p>
        </w:tc>
        <w:tc>
          <w:tcPr>
            <w:tcW w:w="660" w:type="dxa"/>
            <w:tcBorders>
              <w:top w:val="nil"/>
              <w:left w:val="nil"/>
              <w:bottom w:val="nil"/>
              <w:right w:val="nil"/>
            </w:tcBorders>
            <w:noWrap/>
            <w:vAlign w:val="bottom"/>
            <w:hideMark/>
          </w:tcPr>
          <w:p w14:paraId="3B32E9E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2B45330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20.5</w:t>
            </w:r>
          </w:p>
        </w:tc>
        <w:tc>
          <w:tcPr>
            <w:tcW w:w="692" w:type="dxa"/>
            <w:tcBorders>
              <w:top w:val="nil"/>
              <w:left w:val="nil"/>
              <w:bottom w:val="nil"/>
              <w:right w:val="nil"/>
            </w:tcBorders>
            <w:noWrap/>
            <w:vAlign w:val="bottom"/>
            <w:hideMark/>
          </w:tcPr>
          <w:p w14:paraId="18C3EFD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2FD4991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15.3</w:t>
            </w:r>
          </w:p>
        </w:tc>
        <w:tc>
          <w:tcPr>
            <w:tcW w:w="695" w:type="dxa"/>
            <w:tcBorders>
              <w:top w:val="nil"/>
              <w:left w:val="nil"/>
              <w:bottom w:val="nil"/>
              <w:right w:val="nil"/>
            </w:tcBorders>
            <w:noWrap/>
            <w:vAlign w:val="bottom"/>
            <w:hideMark/>
          </w:tcPr>
          <w:p w14:paraId="0A02EC7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2D365F8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11.9</w:t>
            </w:r>
          </w:p>
        </w:tc>
        <w:tc>
          <w:tcPr>
            <w:tcW w:w="692" w:type="dxa"/>
            <w:tcBorders>
              <w:top w:val="nil"/>
              <w:left w:val="nil"/>
              <w:bottom w:val="nil"/>
              <w:right w:val="nil"/>
            </w:tcBorders>
            <w:noWrap/>
            <w:vAlign w:val="bottom"/>
            <w:hideMark/>
          </w:tcPr>
          <w:p w14:paraId="19FBB72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68AD34D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FFF00DC" w14:textId="77777777" w:rsidTr="00D859EA">
        <w:trPr>
          <w:trHeight w:val="290"/>
        </w:trPr>
        <w:tc>
          <w:tcPr>
            <w:tcW w:w="2268" w:type="dxa"/>
            <w:tcBorders>
              <w:top w:val="nil"/>
              <w:left w:val="nil"/>
              <w:bottom w:val="nil"/>
              <w:right w:val="nil"/>
            </w:tcBorders>
            <w:noWrap/>
            <w:vAlign w:val="bottom"/>
            <w:hideMark/>
          </w:tcPr>
          <w:p w14:paraId="0D54679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Primary caregiver at home (%)</w:t>
            </w:r>
          </w:p>
        </w:tc>
        <w:tc>
          <w:tcPr>
            <w:tcW w:w="709" w:type="dxa"/>
            <w:tcBorders>
              <w:top w:val="nil"/>
              <w:left w:val="nil"/>
              <w:bottom w:val="nil"/>
              <w:right w:val="nil"/>
            </w:tcBorders>
            <w:noWrap/>
            <w:vAlign w:val="bottom"/>
            <w:hideMark/>
          </w:tcPr>
          <w:p w14:paraId="7A160D13"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3B00853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1E037DC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06FDEDC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5696B52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6EB0107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7374EF7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6813654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4B21EFF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56059F6" w14:textId="77777777" w:rsidTr="00D859EA">
        <w:trPr>
          <w:trHeight w:val="290"/>
        </w:trPr>
        <w:tc>
          <w:tcPr>
            <w:tcW w:w="2268" w:type="dxa"/>
            <w:tcBorders>
              <w:top w:val="nil"/>
              <w:left w:val="nil"/>
              <w:bottom w:val="nil"/>
              <w:right w:val="nil"/>
            </w:tcBorders>
            <w:noWrap/>
            <w:vAlign w:val="bottom"/>
            <w:hideMark/>
          </w:tcPr>
          <w:p w14:paraId="24D0F1FB"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Parent</w:t>
            </w:r>
          </w:p>
        </w:tc>
        <w:tc>
          <w:tcPr>
            <w:tcW w:w="709" w:type="dxa"/>
            <w:tcBorders>
              <w:top w:val="nil"/>
              <w:left w:val="nil"/>
              <w:bottom w:val="nil"/>
              <w:right w:val="nil"/>
            </w:tcBorders>
            <w:noWrap/>
            <w:vAlign w:val="bottom"/>
            <w:hideMark/>
          </w:tcPr>
          <w:p w14:paraId="7EDFFFF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75.4</w:t>
            </w:r>
          </w:p>
        </w:tc>
        <w:tc>
          <w:tcPr>
            <w:tcW w:w="660" w:type="dxa"/>
            <w:tcBorders>
              <w:top w:val="nil"/>
              <w:left w:val="nil"/>
              <w:bottom w:val="nil"/>
              <w:right w:val="nil"/>
            </w:tcBorders>
            <w:noWrap/>
            <w:vAlign w:val="bottom"/>
            <w:hideMark/>
          </w:tcPr>
          <w:p w14:paraId="726BF2D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24FCD7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100.0</w:t>
            </w:r>
          </w:p>
        </w:tc>
        <w:tc>
          <w:tcPr>
            <w:tcW w:w="692" w:type="dxa"/>
            <w:tcBorders>
              <w:top w:val="nil"/>
              <w:left w:val="nil"/>
              <w:bottom w:val="nil"/>
              <w:right w:val="nil"/>
            </w:tcBorders>
            <w:noWrap/>
            <w:vAlign w:val="bottom"/>
            <w:hideMark/>
          </w:tcPr>
          <w:p w14:paraId="3A8B14D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04AB738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70.6</w:t>
            </w:r>
          </w:p>
        </w:tc>
        <w:tc>
          <w:tcPr>
            <w:tcW w:w="695" w:type="dxa"/>
            <w:tcBorders>
              <w:top w:val="nil"/>
              <w:left w:val="nil"/>
              <w:bottom w:val="nil"/>
              <w:right w:val="nil"/>
            </w:tcBorders>
            <w:noWrap/>
            <w:vAlign w:val="bottom"/>
            <w:hideMark/>
          </w:tcPr>
          <w:p w14:paraId="407C638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F0214B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74.3</w:t>
            </w:r>
          </w:p>
        </w:tc>
        <w:tc>
          <w:tcPr>
            <w:tcW w:w="692" w:type="dxa"/>
            <w:tcBorders>
              <w:top w:val="nil"/>
              <w:left w:val="nil"/>
              <w:bottom w:val="nil"/>
              <w:right w:val="nil"/>
            </w:tcBorders>
            <w:noWrap/>
            <w:vAlign w:val="bottom"/>
            <w:hideMark/>
          </w:tcPr>
          <w:p w14:paraId="0DE0B9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0136261A" w14:textId="765EF3F0"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b</w:t>
            </w:r>
          </w:p>
        </w:tc>
      </w:tr>
      <w:tr w:rsidR="00A117A8" w:rsidRPr="00A117A8" w14:paraId="17549EE1" w14:textId="77777777" w:rsidTr="00D859EA">
        <w:trPr>
          <w:trHeight w:val="290"/>
        </w:trPr>
        <w:tc>
          <w:tcPr>
            <w:tcW w:w="2268" w:type="dxa"/>
            <w:tcBorders>
              <w:top w:val="nil"/>
              <w:left w:val="nil"/>
              <w:bottom w:val="nil"/>
              <w:right w:val="nil"/>
            </w:tcBorders>
            <w:noWrap/>
            <w:vAlign w:val="bottom"/>
            <w:hideMark/>
          </w:tcPr>
          <w:p w14:paraId="2C67F3C8"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Other family member</w:t>
            </w:r>
          </w:p>
        </w:tc>
        <w:tc>
          <w:tcPr>
            <w:tcW w:w="709" w:type="dxa"/>
            <w:tcBorders>
              <w:top w:val="nil"/>
              <w:left w:val="nil"/>
              <w:bottom w:val="nil"/>
              <w:right w:val="nil"/>
            </w:tcBorders>
            <w:noWrap/>
            <w:vAlign w:val="bottom"/>
            <w:hideMark/>
          </w:tcPr>
          <w:p w14:paraId="2B00149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12.0</w:t>
            </w:r>
          </w:p>
        </w:tc>
        <w:tc>
          <w:tcPr>
            <w:tcW w:w="660" w:type="dxa"/>
            <w:tcBorders>
              <w:top w:val="nil"/>
              <w:left w:val="nil"/>
              <w:bottom w:val="nil"/>
              <w:right w:val="nil"/>
            </w:tcBorders>
            <w:noWrap/>
            <w:vAlign w:val="bottom"/>
            <w:hideMark/>
          </w:tcPr>
          <w:p w14:paraId="3D22A74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5783CB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w:t>
            </w:r>
          </w:p>
        </w:tc>
        <w:tc>
          <w:tcPr>
            <w:tcW w:w="692" w:type="dxa"/>
            <w:tcBorders>
              <w:top w:val="nil"/>
              <w:left w:val="nil"/>
              <w:bottom w:val="nil"/>
              <w:right w:val="nil"/>
            </w:tcBorders>
            <w:noWrap/>
            <w:vAlign w:val="bottom"/>
            <w:hideMark/>
          </w:tcPr>
          <w:p w14:paraId="20BF6DC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6AE2ADC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14.1</w:t>
            </w:r>
          </w:p>
        </w:tc>
        <w:tc>
          <w:tcPr>
            <w:tcW w:w="695" w:type="dxa"/>
            <w:tcBorders>
              <w:top w:val="nil"/>
              <w:left w:val="nil"/>
              <w:bottom w:val="nil"/>
              <w:right w:val="nil"/>
            </w:tcBorders>
            <w:noWrap/>
            <w:vAlign w:val="bottom"/>
            <w:hideMark/>
          </w:tcPr>
          <w:p w14:paraId="1531804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2712639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noWrap/>
            <w:vAlign w:val="bottom"/>
            <w:hideMark/>
          </w:tcPr>
          <w:p w14:paraId="07830B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4959DBD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0EE78C80" w14:textId="77777777" w:rsidTr="00D859EA">
        <w:trPr>
          <w:trHeight w:val="290"/>
        </w:trPr>
        <w:tc>
          <w:tcPr>
            <w:tcW w:w="2268" w:type="dxa"/>
            <w:tcBorders>
              <w:top w:val="nil"/>
              <w:left w:val="nil"/>
              <w:bottom w:val="nil"/>
              <w:right w:val="nil"/>
            </w:tcBorders>
            <w:noWrap/>
            <w:vAlign w:val="bottom"/>
            <w:hideMark/>
          </w:tcPr>
          <w:p w14:paraId="245FDF4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Non family care</w:t>
            </w:r>
          </w:p>
        </w:tc>
        <w:tc>
          <w:tcPr>
            <w:tcW w:w="709" w:type="dxa"/>
            <w:tcBorders>
              <w:top w:val="nil"/>
              <w:left w:val="nil"/>
              <w:bottom w:val="nil"/>
              <w:right w:val="nil"/>
            </w:tcBorders>
            <w:noWrap/>
            <w:vAlign w:val="bottom"/>
            <w:hideMark/>
          </w:tcPr>
          <w:p w14:paraId="0D06645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12.6</w:t>
            </w:r>
          </w:p>
        </w:tc>
        <w:tc>
          <w:tcPr>
            <w:tcW w:w="660" w:type="dxa"/>
            <w:tcBorders>
              <w:top w:val="nil"/>
              <w:left w:val="nil"/>
              <w:bottom w:val="nil"/>
              <w:right w:val="nil"/>
            </w:tcBorders>
            <w:noWrap/>
            <w:vAlign w:val="bottom"/>
            <w:hideMark/>
          </w:tcPr>
          <w:p w14:paraId="49442F8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57DF2FC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w:t>
            </w:r>
          </w:p>
        </w:tc>
        <w:tc>
          <w:tcPr>
            <w:tcW w:w="692" w:type="dxa"/>
            <w:tcBorders>
              <w:top w:val="nil"/>
              <w:left w:val="nil"/>
              <w:bottom w:val="nil"/>
              <w:right w:val="nil"/>
            </w:tcBorders>
            <w:noWrap/>
            <w:vAlign w:val="bottom"/>
            <w:hideMark/>
          </w:tcPr>
          <w:p w14:paraId="283966F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3D302B5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15.3</w:t>
            </w:r>
          </w:p>
        </w:tc>
        <w:tc>
          <w:tcPr>
            <w:tcW w:w="695" w:type="dxa"/>
            <w:tcBorders>
              <w:top w:val="nil"/>
              <w:left w:val="nil"/>
              <w:bottom w:val="nil"/>
              <w:right w:val="nil"/>
            </w:tcBorders>
            <w:noWrap/>
            <w:vAlign w:val="bottom"/>
            <w:hideMark/>
          </w:tcPr>
          <w:p w14:paraId="7BFB43A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15F4D7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noWrap/>
            <w:vAlign w:val="bottom"/>
            <w:hideMark/>
          </w:tcPr>
          <w:p w14:paraId="702B820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50274DF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79656ACD" w14:textId="77777777" w:rsidTr="00D859EA">
        <w:trPr>
          <w:trHeight w:val="290"/>
        </w:trPr>
        <w:tc>
          <w:tcPr>
            <w:tcW w:w="2268" w:type="dxa"/>
            <w:tcBorders>
              <w:top w:val="nil"/>
              <w:left w:val="nil"/>
              <w:bottom w:val="nil"/>
              <w:right w:val="nil"/>
            </w:tcBorders>
            <w:noWrap/>
            <w:vAlign w:val="bottom"/>
            <w:hideMark/>
          </w:tcPr>
          <w:p w14:paraId="6405B6B5"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Maternal education level (%)</w:t>
            </w:r>
          </w:p>
        </w:tc>
        <w:tc>
          <w:tcPr>
            <w:tcW w:w="709" w:type="dxa"/>
            <w:tcBorders>
              <w:top w:val="nil"/>
              <w:left w:val="nil"/>
              <w:bottom w:val="nil"/>
              <w:right w:val="nil"/>
            </w:tcBorders>
            <w:noWrap/>
            <w:vAlign w:val="bottom"/>
            <w:hideMark/>
          </w:tcPr>
          <w:p w14:paraId="4A3F1E09"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727028C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53D8DDD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41C2631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595FF36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5109509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6D64B39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4B49F3A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6F14509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A8BF2AA" w14:textId="77777777" w:rsidTr="00D859EA">
        <w:trPr>
          <w:trHeight w:val="290"/>
        </w:trPr>
        <w:tc>
          <w:tcPr>
            <w:tcW w:w="2268" w:type="dxa"/>
            <w:tcBorders>
              <w:top w:val="nil"/>
              <w:left w:val="nil"/>
              <w:bottom w:val="nil"/>
              <w:right w:val="nil"/>
            </w:tcBorders>
            <w:noWrap/>
            <w:vAlign w:val="bottom"/>
            <w:hideMark/>
          </w:tcPr>
          <w:p w14:paraId="42BF3DAC"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Junior high</w:t>
            </w:r>
          </w:p>
        </w:tc>
        <w:tc>
          <w:tcPr>
            <w:tcW w:w="709" w:type="dxa"/>
            <w:tcBorders>
              <w:top w:val="nil"/>
              <w:left w:val="nil"/>
              <w:bottom w:val="nil"/>
              <w:right w:val="nil"/>
            </w:tcBorders>
            <w:noWrap/>
            <w:vAlign w:val="bottom"/>
            <w:hideMark/>
          </w:tcPr>
          <w:p w14:paraId="3DADCB6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6.2</w:t>
            </w:r>
          </w:p>
        </w:tc>
        <w:tc>
          <w:tcPr>
            <w:tcW w:w="660" w:type="dxa"/>
            <w:tcBorders>
              <w:top w:val="nil"/>
              <w:left w:val="nil"/>
              <w:bottom w:val="nil"/>
              <w:right w:val="nil"/>
            </w:tcBorders>
            <w:noWrap/>
            <w:vAlign w:val="bottom"/>
            <w:hideMark/>
          </w:tcPr>
          <w:p w14:paraId="4F61C33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48A7AF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w:t>
            </w:r>
          </w:p>
        </w:tc>
        <w:tc>
          <w:tcPr>
            <w:tcW w:w="692" w:type="dxa"/>
            <w:tcBorders>
              <w:top w:val="nil"/>
              <w:left w:val="nil"/>
              <w:bottom w:val="nil"/>
              <w:right w:val="nil"/>
            </w:tcBorders>
            <w:noWrap/>
            <w:vAlign w:val="bottom"/>
            <w:hideMark/>
          </w:tcPr>
          <w:p w14:paraId="7F9CC7E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3CAD9EC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6.2</w:t>
            </w:r>
          </w:p>
        </w:tc>
        <w:tc>
          <w:tcPr>
            <w:tcW w:w="695" w:type="dxa"/>
            <w:tcBorders>
              <w:top w:val="nil"/>
              <w:left w:val="nil"/>
              <w:bottom w:val="nil"/>
              <w:right w:val="nil"/>
            </w:tcBorders>
            <w:noWrap/>
            <w:vAlign w:val="bottom"/>
            <w:hideMark/>
          </w:tcPr>
          <w:p w14:paraId="6BB19C4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17C605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6.4</w:t>
            </w:r>
          </w:p>
        </w:tc>
        <w:tc>
          <w:tcPr>
            <w:tcW w:w="692" w:type="dxa"/>
            <w:tcBorders>
              <w:top w:val="nil"/>
              <w:left w:val="nil"/>
              <w:bottom w:val="nil"/>
              <w:right w:val="nil"/>
            </w:tcBorders>
            <w:noWrap/>
            <w:vAlign w:val="bottom"/>
            <w:hideMark/>
          </w:tcPr>
          <w:p w14:paraId="22CFA21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128A9BE9" w14:textId="17E50FAE"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b</w:t>
            </w:r>
          </w:p>
        </w:tc>
      </w:tr>
      <w:tr w:rsidR="00A117A8" w:rsidRPr="00A117A8" w14:paraId="095BE134" w14:textId="77777777" w:rsidTr="00D859EA">
        <w:trPr>
          <w:trHeight w:val="290"/>
        </w:trPr>
        <w:tc>
          <w:tcPr>
            <w:tcW w:w="2268" w:type="dxa"/>
            <w:tcBorders>
              <w:top w:val="nil"/>
              <w:left w:val="nil"/>
              <w:bottom w:val="nil"/>
              <w:right w:val="nil"/>
            </w:tcBorders>
            <w:noWrap/>
            <w:vAlign w:val="bottom"/>
            <w:hideMark/>
          </w:tcPr>
          <w:p w14:paraId="15E9465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Senior high</w:t>
            </w:r>
          </w:p>
        </w:tc>
        <w:tc>
          <w:tcPr>
            <w:tcW w:w="709" w:type="dxa"/>
            <w:tcBorders>
              <w:top w:val="nil"/>
              <w:left w:val="nil"/>
              <w:bottom w:val="nil"/>
              <w:right w:val="nil"/>
            </w:tcBorders>
            <w:noWrap/>
            <w:vAlign w:val="bottom"/>
            <w:hideMark/>
          </w:tcPr>
          <w:p w14:paraId="313D39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35.1</w:t>
            </w:r>
          </w:p>
        </w:tc>
        <w:tc>
          <w:tcPr>
            <w:tcW w:w="660" w:type="dxa"/>
            <w:tcBorders>
              <w:top w:val="nil"/>
              <w:left w:val="nil"/>
              <w:bottom w:val="nil"/>
              <w:right w:val="nil"/>
            </w:tcBorders>
            <w:noWrap/>
            <w:vAlign w:val="bottom"/>
            <w:hideMark/>
          </w:tcPr>
          <w:p w14:paraId="14C5443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ED69F4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64.1</w:t>
            </w:r>
          </w:p>
        </w:tc>
        <w:tc>
          <w:tcPr>
            <w:tcW w:w="692" w:type="dxa"/>
            <w:tcBorders>
              <w:top w:val="nil"/>
              <w:left w:val="nil"/>
              <w:bottom w:val="nil"/>
              <w:right w:val="nil"/>
            </w:tcBorders>
            <w:noWrap/>
            <w:vAlign w:val="bottom"/>
            <w:hideMark/>
          </w:tcPr>
          <w:p w14:paraId="3AAA95C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3D40EBB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22.6</w:t>
            </w:r>
          </w:p>
        </w:tc>
        <w:tc>
          <w:tcPr>
            <w:tcW w:w="695" w:type="dxa"/>
            <w:tcBorders>
              <w:top w:val="nil"/>
              <w:left w:val="nil"/>
              <w:bottom w:val="nil"/>
              <w:right w:val="nil"/>
            </w:tcBorders>
            <w:noWrap/>
            <w:vAlign w:val="bottom"/>
            <w:hideMark/>
          </w:tcPr>
          <w:p w14:paraId="7E9F2E4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BBE79F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45.0</w:t>
            </w:r>
          </w:p>
        </w:tc>
        <w:tc>
          <w:tcPr>
            <w:tcW w:w="692" w:type="dxa"/>
            <w:tcBorders>
              <w:top w:val="nil"/>
              <w:left w:val="nil"/>
              <w:bottom w:val="nil"/>
              <w:right w:val="nil"/>
            </w:tcBorders>
            <w:noWrap/>
            <w:vAlign w:val="bottom"/>
            <w:hideMark/>
          </w:tcPr>
          <w:p w14:paraId="1559A01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2A5E93E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22D03FBC" w14:textId="77777777" w:rsidTr="00D859EA">
        <w:trPr>
          <w:trHeight w:val="290"/>
        </w:trPr>
        <w:tc>
          <w:tcPr>
            <w:tcW w:w="2268" w:type="dxa"/>
            <w:tcBorders>
              <w:top w:val="nil"/>
              <w:left w:val="nil"/>
              <w:bottom w:val="nil"/>
              <w:right w:val="nil"/>
            </w:tcBorders>
            <w:noWrap/>
            <w:vAlign w:val="bottom"/>
            <w:hideMark/>
          </w:tcPr>
          <w:p w14:paraId="24DB3FCA"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College</w:t>
            </w:r>
          </w:p>
        </w:tc>
        <w:tc>
          <w:tcPr>
            <w:tcW w:w="709" w:type="dxa"/>
            <w:tcBorders>
              <w:top w:val="nil"/>
              <w:left w:val="nil"/>
              <w:bottom w:val="nil"/>
              <w:right w:val="nil"/>
            </w:tcBorders>
            <w:noWrap/>
            <w:vAlign w:val="bottom"/>
            <w:hideMark/>
          </w:tcPr>
          <w:p w14:paraId="0A2AEF3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58.8</w:t>
            </w:r>
          </w:p>
        </w:tc>
        <w:tc>
          <w:tcPr>
            <w:tcW w:w="660" w:type="dxa"/>
            <w:tcBorders>
              <w:top w:val="nil"/>
              <w:left w:val="nil"/>
              <w:bottom w:val="nil"/>
              <w:right w:val="nil"/>
            </w:tcBorders>
            <w:noWrap/>
            <w:vAlign w:val="bottom"/>
            <w:hideMark/>
          </w:tcPr>
          <w:p w14:paraId="2C26F73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DE7506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30.8</w:t>
            </w:r>
          </w:p>
        </w:tc>
        <w:tc>
          <w:tcPr>
            <w:tcW w:w="692" w:type="dxa"/>
            <w:tcBorders>
              <w:top w:val="nil"/>
              <w:left w:val="nil"/>
              <w:bottom w:val="nil"/>
              <w:right w:val="nil"/>
            </w:tcBorders>
            <w:noWrap/>
            <w:vAlign w:val="bottom"/>
            <w:hideMark/>
          </w:tcPr>
          <w:p w14:paraId="5E043B3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63605EA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30.8</w:t>
            </w:r>
          </w:p>
        </w:tc>
        <w:tc>
          <w:tcPr>
            <w:tcW w:w="695" w:type="dxa"/>
            <w:tcBorders>
              <w:top w:val="nil"/>
              <w:left w:val="nil"/>
              <w:bottom w:val="nil"/>
              <w:right w:val="nil"/>
            </w:tcBorders>
            <w:noWrap/>
            <w:vAlign w:val="bottom"/>
            <w:hideMark/>
          </w:tcPr>
          <w:p w14:paraId="031C3D4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D67BC5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48.6</w:t>
            </w:r>
          </w:p>
        </w:tc>
        <w:tc>
          <w:tcPr>
            <w:tcW w:w="692" w:type="dxa"/>
            <w:tcBorders>
              <w:top w:val="nil"/>
              <w:left w:val="nil"/>
              <w:bottom w:val="nil"/>
              <w:right w:val="nil"/>
            </w:tcBorders>
            <w:noWrap/>
            <w:vAlign w:val="bottom"/>
            <w:hideMark/>
          </w:tcPr>
          <w:p w14:paraId="3FB2010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2ADE077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048ECF6" w14:textId="77777777" w:rsidTr="00D859EA">
        <w:trPr>
          <w:trHeight w:val="290"/>
        </w:trPr>
        <w:tc>
          <w:tcPr>
            <w:tcW w:w="2268" w:type="dxa"/>
            <w:tcBorders>
              <w:top w:val="nil"/>
              <w:left w:val="nil"/>
              <w:bottom w:val="nil"/>
              <w:right w:val="nil"/>
            </w:tcBorders>
            <w:noWrap/>
            <w:vAlign w:val="bottom"/>
            <w:hideMark/>
          </w:tcPr>
          <w:p w14:paraId="2A29E64A"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Paternal education level (%)</w:t>
            </w:r>
          </w:p>
        </w:tc>
        <w:tc>
          <w:tcPr>
            <w:tcW w:w="709" w:type="dxa"/>
            <w:tcBorders>
              <w:top w:val="nil"/>
              <w:left w:val="nil"/>
              <w:bottom w:val="nil"/>
              <w:right w:val="nil"/>
            </w:tcBorders>
            <w:noWrap/>
            <w:vAlign w:val="bottom"/>
            <w:hideMark/>
          </w:tcPr>
          <w:p w14:paraId="24747A4E"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2384B88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35A7399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6B58C13F"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46FA8FF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1571B6C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467E6F3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7B7CCF1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7E2298B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51220B8" w14:textId="77777777" w:rsidTr="00D859EA">
        <w:trPr>
          <w:trHeight w:val="290"/>
        </w:trPr>
        <w:tc>
          <w:tcPr>
            <w:tcW w:w="2268" w:type="dxa"/>
            <w:tcBorders>
              <w:top w:val="nil"/>
              <w:left w:val="nil"/>
              <w:bottom w:val="nil"/>
              <w:right w:val="nil"/>
            </w:tcBorders>
            <w:noWrap/>
            <w:vAlign w:val="bottom"/>
            <w:hideMark/>
          </w:tcPr>
          <w:p w14:paraId="58B75C6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Junior high</w:t>
            </w:r>
          </w:p>
        </w:tc>
        <w:tc>
          <w:tcPr>
            <w:tcW w:w="709" w:type="dxa"/>
            <w:tcBorders>
              <w:top w:val="nil"/>
              <w:left w:val="nil"/>
              <w:bottom w:val="nil"/>
              <w:right w:val="nil"/>
            </w:tcBorders>
            <w:noWrap/>
            <w:vAlign w:val="bottom"/>
            <w:hideMark/>
          </w:tcPr>
          <w:p w14:paraId="0D61B13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5.5</w:t>
            </w:r>
          </w:p>
        </w:tc>
        <w:tc>
          <w:tcPr>
            <w:tcW w:w="660" w:type="dxa"/>
            <w:tcBorders>
              <w:top w:val="nil"/>
              <w:left w:val="nil"/>
              <w:bottom w:val="nil"/>
              <w:right w:val="nil"/>
            </w:tcBorders>
            <w:noWrap/>
            <w:vAlign w:val="bottom"/>
            <w:hideMark/>
          </w:tcPr>
          <w:p w14:paraId="77D963B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9D3A5F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w:t>
            </w:r>
          </w:p>
        </w:tc>
        <w:tc>
          <w:tcPr>
            <w:tcW w:w="692" w:type="dxa"/>
            <w:tcBorders>
              <w:top w:val="nil"/>
              <w:left w:val="nil"/>
              <w:bottom w:val="nil"/>
              <w:right w:val="nil"/>
            </w:tcBorders>
            <w:noWrap/>
            <w:vAlign w:val="bottom"/>
            <w:hideMark/>
          </w:tcPr>
          <w:p w14:paraId="7793EFC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0163158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6.8</w:t>
            </w:r>
          </w:p>
        </w:tc>
        <w:tc>
          <w:tcPr>
            <w:tcW w:w="695" w:type="dxa"/>
            <w:tcBorders>
              <w:top w:val="nil"/>
              <w:left w:val="nil"/>
              <w:bottom w:val="nil"/>
              <w:right w:val="nil"/>
            </w:tcBorders>
            <w:noWrap/>
            <w:vAlign w:val="bottom"/>
            <w:hideMark/>
          </w:tcPr>
          <w:p w14:paraId="513D299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27262E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3.7</w:t>
            </w:r>
          </w:p>
        </w:tc>
        <w:tc>
          <w:tcPr>
            <w:tcW w:w="692" w:type="dxa"/>
            <w:tcBorders>
              <w:top w:val="nil"/>
              <w:left w:val="nil"/>
              <w:bottom w:val="nil"/>
              <w:right w:val="nil"/>
            </w:tcBorders>
            <w:noWrap/>
            <w:vAlign w:val="bottom"/>
            <w:hideMark/>
          </w:tcPr>
          <w:p w14:paraId="6947ED7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076DA9A7" w14:textId="4C86A45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0.35</w:t>
            </w:r>
            <w:r w:rsidR="00450094" w:rsidRPr="00450094">
              <w:rPr>
                <w:rFonts w:asciiTheme="majorHAnsi" w:eastAsia="Times New Roman" w:hAnsiTheme="majorHAnsi" w:cs="Calibri"/>
                <w:color w:val="000000"/>
                <w:sz w:val="14"/>
                <w:szCs w:val="14"/>
                <w:vertAlign w:val="superscript"/>
                <w:lang w:val="en-ID" w:eastAsia="en-ID"/>
              </w:rPr>
              <w:t xml:space="preserve"> b</w:t>
            </w:r>
          </w:p>
        </w:tc>
      </w:tr>
      <w:tr w:rsidR="00A117A8" w:rsidRPr="00A117A8" w14:paraId="761779F4" w14:textId="77777777" w:rsidTr="00D859EA">
        <w:trPr>
          <w:trHeight w:val="290"/>
        </w:trPr>
        <w:tc>
          <w:tcPr>
            <w:tcW w:w="2268" w:type="dxa"/>
            <w:tcBorders>
              <w:top w:val="nil"/>
              <w:left w:val="nil"/>
              <w:bottom w:val="nil"/>
              <w:right w:val="nil"/>
            </w:tcBorders>
            <w:noWrap/>
            <w:vAlign w:val="bottom"/>
            <w:hideMark/>
          </w:tcPr>
          <w:p w14:paraId="737DFD65"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Senior high</w:t>
            </w:r>
          </w:p>
        </w:tc>
        <w:tc>
          <w:tcPr>
            <w:tcW w:w="709" w:type="dxa"/>
            <w:tcBorders>
              <w:top w:val="nil"/>
              <w:left w:val="nil"/>
              <w:bottom w:val="nil"/>
              <w:right w:val="nil"/>
            </w:tcBorders>
            <w:noWrap/>
            <w:vAlign w:val="bottom"/>
            <w:hideMark/>
          </w:tcPr>
          <w:p w14:paraId="436F01A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36.9</w:t>
            </w:r>
          </w:p>
        </w:tc>
        <w:tc>
          <w:tcPr>
            <w:tcW w:w="660" w:type="dxa"/>
            <w:tcBorders>
              <w:top w:val="nil"/>
              <w:left w:val="nil"/>
              <w:bottom w:val="nil"/>
              <w:right w:val="nil"/>
            </w:tcBorders>
            <w:noWrap/>
            <w:vAlign w:val="bottom"/>
            <w:hideMark/>
          </w:tcPr>
          <w:p w14:paraId="149E53B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18FF096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48.7</w:t>
            </w:r>
          </w:p>
        </w:tc>
        <w:tc>
          <w:tcPr>
            <w:tcW w:w="692" w:type="dxa"/>
            <w:tcBorders>
              <w:top w:val="nil"/>
              <w:left w:val="nil"/>
              <w:bottom w:val="nil"/>
              <w:right w:val="nil"/>
            </w:tcBorders>
            <w:noWrap/>
            <w:vAlign w:val="bottom"/>
            <w:hideMark/>
          </w:tcPr>
          <w:p w14:paraId="0B18471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3D6B868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33.3</w:t>
            </w:r>
          </w:p>
        </w:tc>
        <w:tc>
          <w:tcPr>
            <w:tcW w:w="695" w:type="dxa"/>
            <w:tcBorders>
              <w:top w:val="nil"/>
              <w:left w:val="nil"/>
              <w:bottom w:val="nil"/>
              <w:right w:val="nil"/>
            </w:tcBorders>
            <w:noWrap/>
            <w:vAlign w:val="bottom"/>
            <w:hideMark/>
          </w:tcPr>
          <w:p w14:paraId="6114049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57FFF24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38.5</w:t>
            </w:r>
          </w:p>
        </w:tc>
        <w:tc>
          <w:tcPr>
            <w:tcW w:w="692" w:type="dxa"/>
            <w:tcBorders>
              <w:top w:val="nil"/>
              <w:left w:val="nil"/>
              <w:bottom w:val="nil"/>
              <w:right w:val="nil"/>
            </w:tcBorders>
            <w:noWrap/>
            <w:vAlign w:val="bottom"/>
            <w:hideMark/>
          </w:tcPr>
          <w:p w14:paraId="10FDC80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72EFD6F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84ED663" w14:textId="77777777" w:rsidTr="00D859EA">
        <w:trPr>
          <w:trHeight w:val="290"/>
        </w:trPr>
        <w:tc>
          <w:tcPr>
            <w:tcW w:w="2268" w:type="dxa"/>
            <w:tcBorders>
              <w:top w:val="nil"/>
              <w:left w:val="nil"/>
              <w:bottom w:val="nil"/>
              <w:right w:val="nil"/>
            </w:tcBorders>
            <w:noWrap/>
            <w:vAlign w:val="bottom"/>
            <w:hideMark/>
          </w:tcPr>
          <w:p w14:paraId="7DAE81F1"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College</w:t>
            </w:r>
          </w:p>
        </w:tc>
        <w:tc>
          <w:tcPr>
            <w:tcW w:w="709" w:type="dxa"/>
            <w:tcBorders>
              <w:top w:val="nil"/>
              <w:left w:val="nil"/>
              <w:bottom w:val="nil"/>
              <w:right w:val="nil"/>
            </w:tcBorders>
            <w:noWrap/>
            <w:vAlign w:val="bottom"/>
            <w:hideMark/>
          </w:tcPr>
          <w:p w14:paraId="2ABC07F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57.5</w:t>
            </w:r>
          </w:p>
        </w:tc>
        <w:tc>
          <w:tcPr>
            <w:tcW w:w="660" w:type="dxa"/>
            <w:tcBorders>
              <w:top w:val="nil"/>
              <w:left w:val="nil"/>
              <w:bottom w:val="nil"/>
              <w:right w:val="nil"/>
            </w:tcBorders>
            <w:noWrap/>
            <w:vAlign w:val="bottom"/>
            <w:hideMark/>
          </w:tcPr>
          <w:p w14:paraId="0A89791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56F7980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46.2</w:t>
            </w:r>
          </w:p>
        </w:tc>
        <w:tc>
          <w:tcPr>
            <w:tcW w:w="692" w:type="dxa"/>
            <w:tcBorders>
              <w:top w:val="nil"/>
              <w:left w:val="nil"/>
              <w:bottom w:val="nil"/>
              <w:right w:val="nil"/>
            </w:tcBorders>
            <w:noWrap/>
            <w:vAlign w:val="bottom"/>
            <w:hideMark/>
          </w:tcPr>
          <w:p w14:paraId="739076F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08300E6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59.9</w:t>
            </w:r>
          </w:p>
        </w:tc>
        <w:tc>
          <w:tcPr>
            <w:tcW w:w="695" w:type="dxa"/>
            <w:tcBorders>
              <w:top w:val="nil"/>
              <w:left w:val="nil"/>
              <w:bottom w:val="nil"/>
              <w:right w:val="nil"/>
            </w:tcBorders>
            <w:noWrap/>
            <w:vAlign w:val="bottom"/>
            <w:hideMark/>
          </w:tcPr>
          <w:p w14:paraId="36A5AC9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0CDAB33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57.8</w:t>
            </w:r>
          </w:p>
        </w:tc>
        <w:tc>
          <w:tcPr>
            <w:tcW w:w="692" w:type="dxa"/>
            <w:tcBorders>
              <w:top w:val="nil"/>
              <w:left w:val="nil"/>
              <w:bottom w:val="nil"/>
              <w:right w:val="nil"/>
            </w:tcBorders>
            <w:noWrap/>
            <w:vAlign w:val="bottom"/>
            <w:hideMark/>
          </w:tcPr>
          <w:p w14:paraId="3D18F0D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00DCF92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086DA218" w14:textId="77777777" w:rsidTr="00D859EA">
        <w:trPr>
          <w:trHeight w:val="290"/>
        </w:trPr>
        <w:tc>
          <w:tcPr>
            <w:tcW w:w="2268" w:type="dxa"/>
            <w:tcBorders>
              <w:top w:val="nil"/>
              <w:left w:val="nil"/>
              <w:bottom w:val="nil"/>
              <w:right w:val="nil"/>
            </w:tcBorders>
            <w:noWrap/>
            <w:vAlign w:val="bottom"/>
            <w:hideMark/>
          </w:tcPr>
          <w:p w14:paraId="4383548E"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Maternal occupation (%)</w:t>
            </w:r>
          </w:p>
        </w:tc>
        <w:tc>
          <w:tcPr>
            <w:tcW w:w="709" w:type="dxa"/>
            <w:tcBorders>
              <w:top w:val="nil"/>
              <w:left w:val="nil"/>
              <w:bottom w:val="nil"/>
              <w:right w:val="nil"/>
            </w:tcBorders>
            <w:noWrap/>
            <w:vAlign w:val="bottom"/>
            <w:hideMark/>
          </w:tcPr>
          <w:p w14:paraId="204FA08F"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29CF40A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0EF1059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4F6F418C"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7A3288B3"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7FB329F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175EF5E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310D5A4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684DB6E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59DEA86E" w14:textId="77777777" w:rsidTr="00D859EA">
        <w:trPr>
          <w:trHeight w:val="290"/>
        </w:trPr>
        <w:tc>
          <w:tcPr>
            <w:tcW w:w="2268" w:type="dxa"/>
            <w:tcBorders>
              <w:top w:val="nil"/>
              <w:left w:val="nil"/>
              <w:bottom w:val="nil"/>
              <w:right w:val="nil"/>
            </w:tcBorders>
            <w:noWrap/>
            <w:vAlign w:val="bottom"/>
            <w:hideMark/>
          </w:tcPr>
          <w:p w14:paraId="70F029B7"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Unemployed</w:t>
            </w:r>
          </w:p>
        </w:tc>
        <w:tc>
          <w:tcPr>
            <w:tcW w:w="709" w:type="dxa"/>
            <w:tcBorders>
              <w:top w:val="nil"/>
              <w:left w:val="nil"/>
              <w:bottom w:val="nil"/>
              <w:right w:val="nil"/>
            </w:tcBorders>
            <w:noWrap/>
            <w:vAlign w:val="bottom"/>
            <w:hideMark/>
          </w:tcPr>
          <w:p w14:paraId="487D37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50.5</w:t>
            </w:r>
          </w:p>
        </w:tc>
        <w:tc>
          <w:tcPr>
            <w:tcW w:w="660" w:type="dxa"/>
            <w:tcBorders>
              <w:top w:val="nil"/>
              <w:left w:val="nil"/>
              <w:bottom w:val="nil"/>
              <w:right w:val="nil"/>
            </w:tcBorders>
            <w:noWrap/>
            <w:vAlign w:val="bottom"/>
            <w:hideMark/>
          </w:tcPr>
          <w:p w14:paraId="06D0E51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16F0A3F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51.3</w:t>
            </w:r>
          </w:p>
        </w:tc>
        <w:tc>
          <w:tcPr>
            <w:tcW w:w="692" w:type="dxa"/>
            <w:tcBorders>
              <w:top w:val="nil"/>
              <w:left w:val="nil"/>
              <w:bottom w:val="nil"/>
              <w:right w:val="nil"/>
            </w:tcBorders>
            <w:noWrap/>
            <w:vAlign w:val="bottom"/>
            <w:hideMark/>
          </w:tcPr>
          <w:p w14:paraId="28CF8FC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3DCAA21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45.2</w:t>
            </w:r>
          </w:p>
        </w:tc>
        <w:tc>
          <w:tcPr>
            <w:tcW w:w="695" w:type="dxa"/>
            <w:tcBorders>
              <w:top w:val="nil"/>
              <w:left w:val="nil"/>
              <w:bottom w:val="nil"/>
              <w:right w:val="nil"/>
            </w:tcBorders>
            <w:noWrap/>
            <w:vAlign w:val="bottom"/>
            <w:hideMark/>
          </w:tcPr>
          <w:p w14:paraId="21B981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4B3BFC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58.7</w:t>
            </w:r>
          </w:p>
        </w:tc>
        <w:tc>
          <w:tcPr>
            <w:tcW w:w="692" w:type="dxa"/>
            <w:tcBorders>
              <w:top w:val="nil"/>
              <w:left w:val="nil"/>
              <w:bottom w:val="nil"/>
              <w:right w:val="nil"/>
            </w:tcBorders>
            <w:noWrap/>
            <w:vAlign w:val="bottom"/>
            <w:hideMark/>
          </w:tcPr>
          <w:p w14:paraId="5ED1EA8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361EE25C" w14:textId="2141E1C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0.25</w:t>
            </w:r>
            <w:r w:rsidR="00450094" w:rsidRPr="00450094">
              <w:rPr>
                <w:rFonts w:asciiTheme="majorHAnsi" w:eastAsia="Times New Roman" w:hAnsiTheme="majorHAnsi" w:cs="Calibri"/>
                <w:color w:val="000000"/>
                <w:sz w:val="14"/>
                <w:szCs w:val="14"/>
                <w:vertAlign w:val="superscript"/>
                <w:lang w:val="en-ID" w:eastAsia="en-ID"/>
              </w:rPr>
              <w:t xml:space="preserve"> b</w:t>
            </w:r>
          </w:p>
        </w:tc>
      </w:tr>
      <w:tr w:rsidR="00A117A8" w:rsidRPr="00A117A8" w14:paraId="1176C93E" w14:textId="77777777" w:rsidTr="00D859EA">
        <w:trPr>
          <w:trHeight w:val="290"/>
        </w:trPr>
        <w:tc>
          <w:tcPr>
            <w:tcW w:w="2268" w:type="dxa"/>
            <w:tcBorders>
              <w:top w:val="nil"/>
              <w:left w:val="nil"/>
              <w:bottom w:val="nil"/>
              <w:right w:val="nil"/>
            </w:tcBorders>
            <w:noWrap/>
            <w:vAlign w:val="bottom"/>
            <w:hideMark/>
          </w:tcPr>
          <w:p w14:paraId="4DF068F7"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proofErr w:type="spellStart"/>
            <w:r w:rsidRPr="00A117A8">
              <w:rPr>
                <w:rFonts w:asciiTheme="majorHAnsi" w:eastAsia="Times New Roman" w:hAnsiTheme="majorHAnsi" w:cs="Calibri"/>
                <w:color w:val="000000"/>
                <w:sz w:val="14"/>
                <w:szCs w:val="14"/>
                <w:lang w:val="en-ID" w:eastAsia="en-ID"/>
              </w:rPr>
              <w:t>Laborer</w:t>
            </w:r>
            <w:proofErr w:type="spellEnd"/>
            <w:r w:rsidRPr="00A117A8">
              <w:rPr>
                <w:rFonts w:asciiTheme="majorHAnsi" w:eastAsia="Times New Roman" w:hAnsiTheme="majorHAnsi" w:cs="Calibri"/>
                <w:color w:val="000000"/>
                <w:sz w:val="14"/>
                <w:szCs w:val="14"/>
                <w:lang w:val="en-ID" w:eastAsia="en-ID"/>
              </w:rPr>
              <w:t>/Farmer</w:t>
            </w:r>
          </w:p>
        </w:tc>
        <w:tc>
          <w:tcPr>
            <w:tcW w:w="709" w:type="dxa"/>
            <w:tcBorders>
              <w:top w:val="nil"/>
              <w:left w:val="nil"/>
              <w:bottom w:val="nil"/>
              <w:right w:val="nil"/>
            </w:tcBorders>
            <w:noWrap/>
            <w:vAlign w:val="bottom"/>
            <w:hideMark/>
          </w:tcPr>
          <w:p w14:paraId="1AF79FE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12.6</w:t>
            </w:r>
          </w:p>
        </w:tc>
        <w:tc>
          <w:tcPr>
            <w:tcW w:w="660" w:type="dxa"/>
            <w:tcBorders>
              <w:top w:val="nil"/>
              <w:left w:val="nil"/>
              <w:bottom w:val="nil"/>
              <w:right w:val="nil"/>
            </w:tcBorders>
            <w:noWrap/>
            <w:vAlign w:val="bottom"/>
            <w:hideMark/>
          </w:tcPr>
          <w:p w14:paraId="28BD2D8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C88E6D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7.7</w:t>
            </w:r>
          </w:p>
        </w:tc>
        <w:tc>
          <w:tcPr>
            <w:tcW w:w="692" w:type="dxa"/>
            <w:tcBorders>
              <w:top w:val="nil"/>
              <w:left w:val="nil"/>
              <w:bottom w:val="nil"/>
              <w:right w:val="nil"/>
            </w:tcBorders>
            <w:noWrap/>
            <w:vAlign w:val="bottom"/>
            <w:hideMark/>
          </w:tcPr>
          <w:p w14:paraId="2B0BB80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7BA048D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15.8</w:t>
            </w:r>
          </w:p>
        </w:tc>
        <w:tc>
          <w:tcPr>
            <w:tcW w:w="695" w:type="dxa"/>
            <w:tcBorders>
              <w:top w:val="nil"/>
              <w:left w:val="nil"/>
              <w:bottom w:val="nil"/>
              <w:right w:val="nil"/>
            </w:tcBorders>
            <w:noWrap/>
            <w:vAlign w:val="bottom"/>
            <w:hideMark/>
          </w:tcPr>
          <w:p w14:paraId="4F17984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5739C7E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9.2</w:t>
            </w:r>
          </w:p>
        </w:tc>
        <w:tc>
          <w:tcPr>
            <w:tcW w:w="692" w:type="dxa"/>
            <w:tcBorders>
              <w:top w:val="nil"/>
              <w:left w:val="nil"/>
              <w:bottom w:val="nil"/>
              <w:right w:val="nil"/>
            </w:tcBorders>
            <w:noWrap/>
            <w:vAlign w:val="bottom"/>
            <w:hideMark/>
          </w:tcPr>
          <w:p w14:paraId="5EB739F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3637B06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F28C118" w14:textId="77777777" w:rsidTr="00D859EA">
        <w:trPr>
          <w:trHeight w:val="290"/>
        </w:trPr>
        <w:tc>
          <w:tcPr>
            <w:tcW w:w="2268" w:type="dxa"/>
            <w:tcBorders>
              <w:top w:val="nil"/>
              <w:left w:val="nil"/>
              <w:bottom w:val="nil"/>
              <w:right w:val="nil"/>
            </w:tcBorders>
            <w:noWrap/>
            <w:vAlign w:val="bottom"/>
            <w:hideMark/>
          </w:tcPr>
          <w:p w14:paraId="15130BF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Private employee</w:t>
            </w:r>
          </w:p>
        </w:tc>
        <w:tc>
          <w:tcPr>
            <w:tcW w:w="709" w:type="dxa"/>
            <w:tcBorders>
              <w:top w:val="nil"/>
              <w:left w:val="nil"/>
              <w:bottom w:val="nil"/>
              <w:right w:val="nil"/>
            </w:tcBorders>
            <w:noWrap/>
            <w:vAlign w:val="bottom"/>
            <w:hideMark/>
          </w:tcPr>
          <w:p w14:paraId="16BFD92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11.4</w:t>
            </w:r>
          </w:p>
        </w:tc>
        <w:tc>
          <w:tcPr>
            <w:tcW w:w="660" w:type="dxa"/>
            <w:tcBorders>
              <w:top w:val="nil"/>
              <w:left w:val="nil"/>
              <w:bottom w:val="nil"/>
              <w:right w:val="nil"/>
            </w:tcBorders>
            <w:noWrap/>
            <w:vAlign w:val="bottom"/>
            <w:hideMark/>
          </w:tcPr>
          <w:p w14:paraId="58FA8AC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1EA9E2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noWrap/>
            <w:vAlign w:val="bottom"/>
            <w:hideMark/>
          </w:tcPr>
          <w:p w14:paraId="7673B5F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501918C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11.9</w:t>
            </w:r>
          </w:p>
        </w:tc>
        <w:tc>
          <w:tcPr>
            <w:tcW w:w="695" w:type="dxa"/>
            <w:tcBorders>
              <w:top w:val="nil"/>
              <w:left w:val="nil"/>
              <w:bottom w:val="nil"/>
              <w:right w:val="nil"/>
            </w:tcBorders>
            <w:noWrap/>
            <w:vAlign w:val="bottom"/>
            <w:hideMark/>
          </w:tcPr>
          <w:p w14:paraId="6DD865E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21CB3AE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10.1</w:t>
            </w:r>
          </w:p>
        </w:tc>
        <w:tc>
          <w:tcPr>
            <w:tcW w:w="692" w:type="dxa"/>
            <w:tcBorders>
              <w:top w:val="nil"/>
              <w:left w:val="nil"/>
              <w:bottom w:val="nil"/>
              <w:right w:val="nil"/>
            </w:tcBorders>
            <w:noWrap/>
            <w:vAlign w:val="bottom"/>
            <w:hideMark/>
          </w:tcPr>
          <w:p w14:paraId="0CA0331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78D504D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7938FC3" w14:textId="77777777" w:rsidTr="00D859EA">
        <w:trPr>
          <w:trHeight w:val="290"/>
        </w:trPr>
        <w:tc>
          <w:tcPr>
            <w:tcW w:w="2268" w:type="dxa"/>
            <w:tcBorders>
              <w:top w:val="nil"/>
              <w:left w:val="nil"/>
              <w:bottom w:val="nil"/>
              <w:right w:val="nil"/>
            </w:tcBorders>
            <w:noWrap/>
            <w:vAlign w:val="bottom"/>
            <w:hideMark/>
          </w:tcPr>
          <w:p w14:paraId="798486B7"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Civil servant</w:t>
            </w:r>
          </w:p>
        </w:tc>
        <w:tc>
          <w:tcPr>
            <w:tcW w:w="709" w:type="dxa"/>
            <w:tcBorders>
              <w:top w:val="nil"/>
              <w:left w:val="nil"/>
              <w:bottom w:val="nil"/>
              <w:right w:val="nil"/>
            </w:tcBorders>
            <w:noWrap/>
            <w:vAlign w:val="bottom"/>
            <w:hideMark/>
          </w:tcPr>
          <w:p w14:paraId="6C3101E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14.5</w:t>
            </w:r>
          </w:p>
        </w:tc>
        <w:tc>
          <w:tcPr>
            <w:tcW w:w="660" w:type="dxa"/>
            <w:tcBorders>
              <w:top w:val="nil"/>
              <w:left w:val="nil"/>
              <w:bottom w:val="nil"/>
              <w:right w:val="nil"/>
            </w:tcBorders>
            <w:noWrap/>
            <w:vAlign w:val="bottom"/>
            <w:hideMark/>
          </w:tcPr>
          <w:p w14:paraId="2F22080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479BC98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10.3</w:t>
            </w:r>
          </w:p>
        </w:tc>
        <w:tc>
          <w:tcPr>
            <w:tcW w:w="692" w:type="dxa"/>
            <w:tcBorders>
              <w:top w:val="nil"/>
              <w:left w:val="nil"/>
              <w:bottom w:val="nil"/>
              <w:right w:val="nil"/>
            </w:tcBorders>
            <w:noWrap/>
            <w:vAlign w:val="bottom"/>
            <w:hideMark/>
          </w:tcPr>
          <w:p w14:paraId="3E8FA5C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27D7735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17.5</w:t>
            </w:r>
          </w:p>
        </w:tc>
        <w:tc>
          <w:tcPr>
            <w:tcW w:w="695" w:type="dxa"/>
            <w:tcBorders>
              <w:top w:val="nil"/>
              <w:left w:val="nil"/>
              <w:bottom w:val="nil"/>
              <w:right w:val="nil"/>
            </w:tcBorders>
            <w:noWrap/>
            <w:vAlign w:val="bottom"/>
            <w:hideMark/>
          </w:tcPr>
          <w:p w14:paraId="0F6FFB3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5604379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11.0</w:t>
            </w:r>
          </w:p>
        </w:tc>
        <w:tc>
          <w:tcPr>
            <w:tcW w:w="692" w:type="dxa"/>
            <w:tcBorders>
              <w:top w:val="nil"/>
              <w:left w:val="nil"/>
              <w:bottom w:val="nil"/>
              <w:right w:val="nil"/>
            </w:tcBorders>
            <w:noWrap/>
            <w:vAlign w:val="bottom"/>
            <w:hideMark/>
          </w:tcPr>
          <w:p w14:paraId="7AD50C1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5A3ED58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46BD54DC" w14:textId="77777777" w:rsidTr="00D859EA">
        <w:trPr>
          <w:trHeight w:val="290"/>
        </w:trPr>
        <w:tc>
          <w:tcPr>
            <w:tcW w:w="2268" w:type="dxa"/>
            <w:tcBorders>
              <w:top w:val="nil"/>
              <w:left w:val="nil"/>
              <w:bottom w:val="nil"/>
              <w:right w:val="nil"/>
            </w:tcBorders>
            <w:noWrap/>
            <w:vAlign w:val="bottom"/>
            <w:hideMark/>
          </w:tcPr>
          <w:p w14:paraId="32FF0A40"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Entrepreneur</w:t>
            </w:r>
          </w:p>
        </w:tc>
        <w:tc>
          <w:tcPr>
            <w:tcW w:w="709" w:type="dxa"/>
            <w:tcBorders>
              <w:top w:val="nil"/>
              <w:left w:val="nil"/>
              <w:bottom w:val="nil"/>
              <w:right w:val="nil"/>
            </w:tcBorders>
            <w:noWrap/>
            <w:vAlign w:val="bottom"/>
            <w:hideMark/>
          </w:tcPr>
          <w:p w14:paraId="7D390DF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11.1</w:t>
            </w:r>
          </w:p>
        </w:tc>
        <w:tc>
          <w:tcPr>
            <w:tcW w:w="660" w:type="dxa"/>
            <w:tcBorders>
              <w:top w:val="nil"/>
              <w:left w:val="nil"/>
              <w:bottom w:val="nil"/>
              <w:right w:val="nil"/>
            </w:tcBorders>
            <w:noWrap/>
            <w:vAlign w:val="bottom"/>
            <w:hideMark/>
          </w:tcPr>
          <w:p w14:paraId="10DAB3D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131648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17.9</w:t>
            </w:r>
          </w:p>
        </w:tc>
        <w:tc>
          <w:tcPr>
            <w:tcW w:w="692" w:type="dxa"/>
            <w:tcBorders>
              <w:top w:val="nil"/>
              <w:left w:val="nil"/>
              <w:bottom w:val="nil"/>
              <w:right w:val="nil"/>
            </w:tcBorders>
            <w:noWrap/>
            <w:vAlign w:val="bottom"/>
            <w:hideMark/>
          </w:tcPr>
          <w:p w14:paraId="4EEA050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02CEC42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9.6</w:t>
            </w:r>
          </w:p>
        </w:tc>
        <w:tc>
          <w:tcPr>
            <w:tcW w:w="695" w:type="dxa"/>
            <w:tcBorders>
              <w:top w:val="nil"/>
              <w:left w:val="nil"/>
              <w:bottom w:val="nil"/>
              <w:right w:val="nil"/>
            </w:tcBorders>
            <w:noWrap/>
            <w:vAlign w:val="bottom"/>
            <w:hideMark/>
          </w:tcPr>
          <w:p w14:paraId="5148601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09A39B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11.0</w:t>
            </w:r>
          </w:p>
        </w:tc>
        <w:tc>
          <w:tcPr>
            <w:tcW w:w="692" w:type="dxa"/>
            <w:tcBorders>
              <w:top w:val="nil"/>
              <w:left w:val="nil"/>
              <w:bottom w:val="nil"/>
              <w:right w:val="nil"/>
            </w:tcBorders>
            <w:noWrap/>
            <w:vAlign w:val="bottom"/>
            <w:hideMark/>
          </w:tcPr>
          <w:p w14:paraId="17A5855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43F91C3E"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E755723" w14:textId="77777777" w:rsidTr="00D859EA">
        <w:trPr>
          <w:trHeight w:val="290"/>
        </w:trPr>
        <w:tc>
          <w:tcPr>
            <w:tcW w:w="2268" w:type="dxa"/>
            <w:tcBorders>
              <w:top w:val="nil"/>
              <w:left w:val="nil"/>
              <w:bottom w:val="nil"/>
              <w:right w:val="nil"/>
            </w:tcBorders>
            <w:noWrap/>
            <w:vAlign w:val="bottom"/>
            <w:hideMark/>
          </w:tcPr>
          <w:p w14:paraId="686D49B2"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Paternal occupation (%)</w:t>
            </w:r>
          </w:p>
        </w:tc>
        <w:tc>
          <w:tcPr>
            <w:tcW w:w="709" w:type="dxa"/>
            <w:tcBorders>
              <w:top w:val="nil"/>
              <w:left w:val="nil"/>
              <w:bottom w:val="nil"/>
              <w:right w:val="nil"/>
            </w:tcBorders>
            <w:noWrap/>
            <w:vAlign w:val="bottom"/>
            <w:hideMark/>
          </w:tcPr>
          <w:p w14:paraId="43B12055"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7D32419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0C0ACFC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15D15591"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1ACC5A78"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2CB76950"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134FF2F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7D298DFA"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3E38A742"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51C3356C" w14:textId="77777777" w:rsidTr="00D859EA">
        <w:trPr>
          <w:trHeight w:val="290"/>
        </w:trPr>
        <w:tc>
          <w:tcPr>
            <w:tcW w:w="2268" w:type="dxa"/>
            <w:tcBorders>
              <w:top w:val="nil"/>
              <w:left w:val="nil"/>
              <w:bottom w:val="nil"/>
              <w:right w:val="nil"/>
            </w:tcBorders>
            <w:noWrap/>
            <w:vAlign w:val="bottom"/>
            <w:hideMark/>
          </w:tcPr>
          <w:p w14:paraId="169C8A1F"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Unemployed</w:t>
            </w:r>
          </w:p>
        </w:tc>
        <w:tc>
          <w:tcPr>
            <w:tcW w:w="709" w:type="dxa"/>
            <w:tcBorders>
              <w:top w:val="nil"/>
              <w:left w:val="nil"/>
              <w:bottom w:val="nil"/>
              <w:right w:val="nil"/>
            </w:tcBorders>
            <w:noWrap/>
            <w:vAlign w:val="bottom"/>
            <w:hideMark/>
          </w:tcPr>
          <w:p w14:paraId="0E6B87C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60" w:type="dxa"/>
            <w:tcBorders>
              <w:top w:val="nil"/>
              <w:left w:val="nil"/>
              <w:bottom w:val="nil"/>
              <w:right w:val="nil"/>
            </w:tcBorders>
            <w:noWrap/>
            <w:vAlign w:val="bottom"/>
            <w:hideMark/>
          </w:tcPr>
          <w:p w14:paraId="4E449FD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9B46D3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92" w:type="dxa"/>
            <w:tcBorders>
              <w:top w:val="nil"/>
              <w:left w:val="nil"/>
              <w:bottom w:val="nil"/>
              <w:right w:val="nil"/>
            </w:tcBorders>
            <w:noWrap/>
            <w:vAlign w:val="bottom"/>
            <w:hideMark/>
          </w:tcPr>
          <w:p w14:paraId="59CFCC9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13E7F03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95" w:type="dxa"/>
            <w:tcBorders>
              <w:top w:val="nil"/>
              <w:left w:val="nil"/>
              <w:bottom w:val="nil"/>
              <w:right w:val="nil"/>
            </w:tcBorders>
            <w:noWrap/>
            <w:vAlign w:val="bottom"/>
            <w:hideMark/>
          </w:tcPr>
          <w:p w14:paraId="43F6DBB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0572F9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w:t>
            </w:r>
          </w:p>
        </w:tc>
        <w:tc>
          <w:tcPr>
            <w:tcW w:w="692" w:type="dxa"/>
            <w:tcBorders>
              <w:top w:val="nil"/>
              <w:left w:val="nil"/>
              <w:bottom w:val="nil"/>
              <w:right w:val="nil"/>
            </w:tcBorders>
            <w:noWrap/>
            <w:vAlign w:val="bottom"/>
            <w:hideMark/>
          </w:tcPr>
          <w:p w14:paraId="5BC91A8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4D0B9E42" w14:textId="6434DF2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0.10</w:t>
            </w:r>
            <w:r w:rsidR="00450094" w:rsidRPr="00450094">
              <w:rPr>
                <w:rFonts w:asciiTheme="majorHAnsi" w:eastAsia="Times New Roman" w:hAnsiTheme="majorHAnsi" w:cs="Calibri"/>
                <w:color w:val="000000"/>
                <w:sz w:val="14"/>
                <w:szCs w:val="14"/>
                <w:vertAlign w:val="superscript"/>
                <w:lang w:val="en-ID" w:eastAsia="en-ID"/>
              </w:rPr>
              <w:t xml:space="preserve"> b</w:t>
            </w:r>
          </w:p>
        </w:tc>
      </w:tr>
      <w:tr w:rsidR="00A117A8" w:rsidRPr="00A117A8" w14:paraId="4F371C06" w14:textId="77777777" w:rsidTr="00D859EA">
        <w:trPr>
          <w:trHeight w:val="290"/>
        </w:trPr>
        <w:tc>
          <w:tcPr>
            <w:tcW w:w="2268" w:type="dxa"/>
            <w:tcBorders>
              <w:top w:val="nil"/>
              <w:left w:val="nil"/>
              <w:bottom w:val="nil"/>
              <w:right w:val="nil"/>
            </w:tcBorders>
            <w:noWrap/>
            <w:vAlign w:val="bottom"/>
            <w:hideMark/>
          </w:tcPr>
          <w:p w14:paraId="48E55C35"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proofErr w:type="spellStart"/>
            <w:r w:rsidRPr="00A117A8">
              <w:rPr>
                <w:rFonts w:asciiTheme="majorHAnsi" w:eastAsia="Times New Roman" w:hAnsiTheme="majorHAnsi" w:cs="Calibri"/>
                <w:color w:val="000000"/>
                <w:sz w:val="14"/>
                <w:szCs w:val="14"/>
                <w:lang w:val="en-ID" w:eastAsia="en-ID"/>
              </w:rPr>
              <w:lastRenderedPageBreak/>
              <w:t>Laborer</w:t>
            </w:r>
            <w:proofErr w:type="spellEnd"/>
            <w:r w:rsidRPr="00A117A8">
              <w:rPr>
                <w:rFonts w:asciiTheme="majorHAnsi" w:eastAsia="Times New Roman" w:hAnsiTheme="majorHAnsi" w:cs="Calibri"/>
                <w:color w:val="000000"/>
                <w:sz w:val="14"/>
                <w:szCs w:val="14"/>
                <w:lang w:val="en-ID" w:eastAsia="en-ID"/>
              </w:rPr>
              <w:t>/Farmer</w:t>
            </w:r>
          </w:p>
        </w:tc>
        <w:tc>
          <w:tcPr>
            <w:tcW w:w="709" w:type="dxa"/>
            <w:tcBorders>
              <w:top w:val="nil"/>
              <w:left w:val="nil"/>
              <w:bottom w:val="nil"/>
              <w:right w:val="nil"/>
            </w:tcBorders>
            <w:noWrap/>
            <w:vAlign w:val="bottom"/>
            <w:hideMark/>
          </w:tcPr>
          <w:p w14:paraId="220F2D4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19.7</w:t>
            </w:r>
          </w:p>
        </w:tc>
        <w:tc>
          <w:tcPr>
            <w:tcW w:w="660" w:type="dxa"/>
            <w:tcBorders>
              <w:top w:val="nil"/>
              <w:left w:val="nil"/>
              <w:bottom w:val="nil"/>
              <w:right w:val="nil"/>
            </w:tcBorders>
            <w:noWrap/>
            <w:vAlign w:val="bottom"/>
            <w:hideMark/>
          </w:tcPr>
          <w:p w14:paraId="3B48D65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453570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20.5</w:t>
            </w:r>
          </w:p>
        </w:tc>
        <w:tc>
          <w:tcPr>
            <w:tcW w:w="692" w:type="dxa"/>
            <w:tcBorders>
              <w:top w:val="nil"/>
              <w:left w:val="nil"/>
              <w:bottom w:val="nil"/>
              <w:right w:val="nil"/>
            </w:tcBorders>
            <w:noWrap/>
            <w:vAlign w:val="bottom"/>
            <w:hideMark/>
          </w:tcPr>
          <w:p w14:paraId="3C3F048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589CBC0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21.5</w:t>
            </w:r>
          </w:p>
        </w:tc>
        <w:tc>
          <w:tcPr>
            <w:tcW w:w="695" w:type="dxa"/>
            <w:tcBorders>
              <w:top w:val="nil"/>
              <w:left w:val="nil"/>
              <w:bottom w:val="nil"/>
              <w:right w:val="nil"/>
            </w:tcBorders>
            <w:noWrap/>
            <w:vAlign w:val="bottom"/>
            <w:hideMark/>
          </w:tcPr>
          <w:p w14:paraId="0FE6395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0E32FF4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16.5</w:t>
            </w:r>
          </w:p>
        </w:tc>
        <w:tc>
          <w:tcPr>
            <w:tcW w:w="692" w:type="dxa"/>
            <w:tcBorders>
              <w:top w:val="nil"/>
              <w:left w:val="nil"/>
              <w:bottom w:val="nil"/>
              <w:right w:val="nil"/>
            </w:tcBorders>
            <w:noWrap/>
            <w:vAlign w:val="bottom"/>
            <w:hideMark/>
          </w:tcPr>
          <w:p w14:paraId="5576EDA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4E87EA5F"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5F8E5A5" w14:textId="77777777" w:rsidTr="00D859EA">
        <w:trPr>
          <w:trHeight w:val="290"/>
        </w:trPr>
        <w:tc>
          <w:tcPr>
            <w:tcW w:w="2268" w:type="dxa"/>
            <w:tcBorders>
              <w:top w:val="nil"/>
              <w:left w:val="nil"/>
              <w:bottom w:val="nil"/>
              <w:right w:val="nil"/>
            </w:tcBorders>
            <w:noWrap/>
            <w:vAlign w:val="bottom"/>
            <w:hideMark/>
          </w:tcPr>
          <w:p w14:paraId="103AE009"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Private employee</w:t>
            </w:r>
          </w:p>
        </w:tc>
        <w:tc>
          <w:tcPr>
            <w:tcW w:w="709" w:type="dxa"/>
            <w:tcBorders>
              <w:top w:val="nil"/>
              <w:left w:val="nil"/>
              <w:bottom w:val="nil"/>
              <w:right w:val="nil"/>
            </w:tcBorders>
            <w:noWrap/>
            <w:vAlign w:val="bottom"/>
            <w:hideMark/>
          </w:tcPr>
          <w:p w14:paraId="3DB1622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34.2</w:t>
            </w:r>
          </w:p>
        </w:tc>
        <w:tc>
          <w:tcPr>
            <w:tcW w:w="660" w:type="dxa"/>
            <w:tcBorders>
              <w:top w:val="nil"/>
              <w:left w:val="nil"/>
              <w:bottom w:val="nil"/>
              <w:right w:val="nil"/>
            </w:tcBorders>
            <w:noWrap/>
            <w:vAlign w:val="bottom"/>
            <w:hideMark/>
          </w:tcPr>
          <w:p w14:paraId="59105F4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4249F4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35.9</w:t>
            </w:r>
          </w:p>
        </w:tc>
        <w:tc>
          <w:tcPr>
            <w:tcW w:w="692" w:type="dxa"/>
            <w:tcBorders>
              <w:top w:val="nil"/>
              <w:left w:val="nil"/>
              <w:bottom w:val="nil"/>
              <w:right w:val="nil"/>
            </w:tcBorders>
            <w:noWrap/>
            <w:vAlign w:val="bottom"/>
            <w:hideMark/>
          </w:tcPr>
          <w:p w14:paraId="6BFE66B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19B8509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36.7</w:t>
            </w:r>
          </w:p>
        </w:tc>
        <w:tc>
          <w:tcPr>
            <w:tcW w:w="695" w:type="dxa"/>
            <w:tcBorders>
              <w:top w:val="nil"/>
              <w:left w:val="nil"/>
              <w:bottom w:val="nil"/>
              <w:right w:val="nil"/>
            </w:tcBorders>
            <w:noWrap/>
            <w:vAlign w:val="bottom"/>
            <w:hideMark/>
          </w:tcPr>
          <w:p w14:paraId="4EF90C2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4354C0D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29.4</w:t>
            </w:r>
          </w:p>
        </w:tc>
        <w:tc>
          <w:tcPr>
            <w:tcW w:w="692" w:type="dxa"/>
            <w:tcBorders>
              <w:top w:val="nil"/>
              <w:left w:val="nil"/>
              <w:bottom w:val="nil"/>
              <w:right w:val="nil"/>
            </w:tcBorders>
            <w:noWrap/>
            <w:vAlign w:val="bottom"/>
            <w:hideMark/>
          </w:tcPr>
          <w:p w14:paraId="25779FB3"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79365F7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67FCDA09" w14:textId="77777777" w:rsidTr="00D859EA">
        <w:trPr>
          <w:trHeight w:val="290"/>
        </w:trPr>
        <w:tc>
          <w:tcPr>
            <w:tcW w:w="2268" w:type="dxa"/>
            <w:tcBorders>
              <w:top w:val="nil"/>
              <w:left w:val="nil"/>
              <w:bottom w:val="nil"/>
              <w:right w:val="nil"/>
            </w:tcBorders>
            <w:noWrap/>
            <w:vAlign w:val="bottom"/>
            <w:hideMark/>
          </w:tcPr>
          <w:p w14:paraId="288EB233"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Civil servant</w:t>
            </w:r>
          </w:p>
        </w:tc>
        <w:tc>
          <w:tcPr>
            <w:tcW w:w="709" w:type="dxa"/>
            <w:tcBorders>
              <w:top w:val="nil"/>
              <w:left w:val="nil"/>
              <w:bottom w:val="nil"/>
              <w:right w:val="nil"/>
            </w:tcBorders>
            <w:noWrap/>
            <w:vAlign w:val="bottom"/>
            <w:hideMark/>
          </w:tcPr>
          <w:p w14:paraId="05571E6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22.2</w:t>
            </w:r>
          </w:p>
        </w:tc>
        <w:tc>
          <w:tcPr>
            <w:tcW w:w="660" w:type="dxa"/>
            <w:tcBorders>
              <w:top w:val="nil"/>
              <w:left w:val="nil"/>
              <w:bottom w:val="nil"/>
              <w:right w:val="nil"/>
            </w:tcBorders>
            <w:noWrap/>
            <w:vAlign w:val="bottom"/>
            <w:hideMark/>
          </w:tcPr>
          <w:p w14:paraId="7A36210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099DA13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28.2</w:t>
            </w:r>
          </w:p>
        </w:tc>
        <w:tc>
          <w:tcPr>
            <w:tcW w:w="692" w:type="dxa"/>
            <w:tcBorders>
              <w:top w:val="nil"/>
              <w:left w:val="nil"/>
              <w:bottom w:val="nil"/>
              <w:right w:val="nil"/>
            </w:tcBorders>
            <w:noWrap/>
            <w:vAlign w:val="bottom"/>
            <w:hideMark/>
          </w:tcPr>
          <w:p w14:paraId="7F3ECA7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26EA315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15.8</w:t>
            </w:r>
          </w:p>
        </w:tc>
        <w:tc>
          <w:tcPr>
            <w:tcW w:w="695" w:type="dxa"/>
            <w:tcBorders>
              <w:top w:val="nil"/>
              <w:left w:val="nil"/>
              <w:bottom w:val="nil"/>
              <w:right w:val="nil"/>
            </w:tcBorders>
            <w:noWrap/>
            <w:vAlign w:val="bottom"/>
            <w:hideMark/>
          </w:tcPr>
          <w:p w14:paraId="017499A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7136449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30.3</w:t>
            </w:r>
          </w:p>
        </w:tc>
        <w:tc>
          <w:tcPr>
            <w:tcW w:w="692" w:type="dxa"/>
            <w:tcBorders>
              <w:top w:val="nil"/>
              <w:left w:val="nil"/>
              <w:bottom w:val="nil"/>
              <w:right w:val="nil"/>
            </w:tcBorders>
            <w:noWrap/>
            <w:vAlign w:val="bottom"/>
            <w:hideMark/>
          </w:tcPr>
          <w:p w14:paraId="49F37C2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1CEDC074"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1EE40757" w14:textId="77777777" w:rsidTr="00D859EA">
        <w:trPr>
          <w:trHeight w:val="290"/>
        </w:trPr>
        <w:tc>
          <w:tcPr>
            <w:tcW w:w="2268" w:type="dxa"/>
            <w:tcBorders>
              <w:top w:val="nil"/>
              <w:left w:val="nil"/>
              <w:bottom w:val="nil"/>
              <w:right w:val="nil"/>
            </w:tcBorders>
            <w:noWrap/>
            <w:vAlign w:val="bottom"/>
            <w:hideMark/>
          </w:tcPr>
          <w:p w14:paraId="6A457870"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Entrepreneur</w:t>
            </w:r>
          </w:p>
        </w:tc>
        <w:tc>
          <w:tcPr>
            <w:tcW w:w="709" w:type="dxa"/>
            <w:tcBorders>
              <w:top w:val="nil"/>
              <w:left w:val="nil"/>
              <w:bottom w:val="nil"/>
              <w:right w:val="nil"/>
            </w:tcBorders>
            <w:noWrap/>
            <w:vAlign w:val="bottom"/>
            <w:hideMark/>
          </w:tcPr>
          <w:p w14:paraId="062A537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24</w:t>
            </w:r>
          </w:p>
        </w:tc>
        <w:tc>
          <w:tcPr>
            <w:tcW w:w="660" w:type="dxa"/>
            <w:tcBorders>
              <w:top w:val="nil"/>
              <w:left w:val="nil"/>
              <w:bottom w:val="nil"/>
              <w:right w:val="nil"/>
            </w:tcBorders>
            <w:noWrap/>
            <w:vAlign w:val="bottom"/>
            <w:hideMark/>
          </w:tcPr>
          <w:p w14:paraId="20D153A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1982E97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15.4</w:t>
            </w:r>
          </w:p>
        </w:tc>
        <w:tc>
          <w:tcPr>
            <w:tcW w:w="692" w:type="dxa"/>
            <w:tcBorders>
              <w:top w:val="nil"/>
              <w:left w:val="nil"/>
              <w:bottom w:val="nil"/>
              <w:right w:val="nil"/>
            </w:tcBorders>
            <w:noWrap/>
            <w:vAlign w:val="bottom"/>
            <w:hideMark/>
          </w:tcPr>
          <w:p w14:paraId="4E432BC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01F28DC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26.0</w:t>
            </w:r>
          </w:p>
        </w:tc>
        <w:tc>
          <w:tcPr>
            <w:tcW w:w="695" w:type="dxa"/>
            <w:tcBorders>
              <w:top w:val="nil"/>
              <w:left w:val="nil"/>
              <w:bottom w:val="nil"/>
              <w:right w:val="nil"/>
            </w:tcBorders>
            <w:noWrap/>
            <w:vAlign w:val="bottom"/>
            <w:hideMark/>
          </w:tcPr>
          <w:p w14:paraId="51364FD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2BA162DE"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23.9</w:t>
            </w:r>
          </w:p>
        </w:tc>
        <w:tc>
          <w:tcPr>
            <w:tcW w:w="692" w:type="dxa"/>
            <w:tcBorders>
              <w:top w:val="nil"/>
              <w:left w:val="nil"/>
              <w:bottom w:val="nil"/>
              <w:right w:val="nil"/>
            </w:tcBorders>
            <w:noWrap/>
            <w:vAlign w:val="bottom"/>
            <w:hideMark/>
          </w:tcPr>
          <w:p w14:paraId="695AA9E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5633DE4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35DE8F5E" w14:textId="77777777" w:rsidTr="00D859EA">
        <w:trPr>
          <w:trHeight w:val="290"/>
        </w:trPr>
        <w:tc>
          <w:tcPr>
            <w:tcW w:w="2268" w:type="dxa"/>
            <w:tcBorders>
              <w:top w:val="nil"/>
              <w:left w:val="nil"/>
              <w:bottom w:val="nil"/>
              <w:right w:val="nil"/>
            </w:tcBorders>
            <w:noWrap/>
            <w:vAlign w:val="bottom"/>
            <w:hideMark/>
          </w:tcPr>
          <w:p w14:paraId="2CFA6681"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roofErr w:type="spellStart"/>
            <w:r w:rsidRPr="00A117A8">
              <w:rPr>
                <w:rFonts w:asciiTheme="majorHAnsi" w:eastAsia="Times New Roman" w:hAnsiTheme="majorHAnsi" w:cs="Calibri"/>
                <w:color w:val="000000"/>
                <w:sz w:val="14"/>
                <w:szCs w:val="14"/>
                <w:lang w:val="en-ID" w:eastAsia="en-ID"/>
              </w:rPr>
              <w:t>Montly</w:t>
            </w:r>
            <w:proofErr w:type="spellEnd"/>
            <w:r w:rsidRPr="00A117A8">
              <w:rPr>
                <w:rFonts w:asciiTheme="majorHAnsi" w:eastAsia="Times New Roman" w:hAnsiTheme="majorHAnsi" w:cs="Calibri"/>
                <w:color w:val="000000"/>
                <w:sz w:val="14"/>
                <w:szCs w:val="14"/>
                <w:lang w:val="en-ID" w:eastAsia="en-ID"/>
              </w:rPr>
              <w:t xml:space="preserve"> incomes (%)</w:t>
            </w:r>
          </w:p>
        </w:tc>
        <w:tc>
          <w:tcPr>
            <w:tcW w:w="709" w:type="dxa"/>
            <w:tcBorders>
              <w:top w:val="nil"/>
              <w:left w:val="nil"/>
              <w:bottom w:val="nil"/>
              <w:right w:val="nil"/>
            </w:tcBorders>
            <w:noWrap/>
            <w:vAlign w:val="bottom"/>
            <w:hideMark/>
          </w:tcPr>
          <w:p w14:paraId="1D3B2ACC" w14:textId="77777777" w:rsidR="00A117A8" w:rsidRPr="00A117A8" w:rsidRDefault="00A117A8" w:rsidP="00A117A8">
            <w:pPr>
              <w:widowControl/>
              <w:autoSpaceDE/>
              <w:autoSpaceDN/>
              <w:spacing w:line="276" w:lineRule="auto"/>
              <w:rPr>
                <w:rFonts w:asciiTheme="majorHAnsi" w:eastAsia="Times New Roman" w:hAnsiTheme="majorHAnsi" w:cs="Calibri"/>
                <w:color w:val="000000"/>
                <w:sz w:val="14"/>
                <w:szCs w:val="14"/>
                <w:lang w:val="en-ID" w:eastAsia="en-ID"/>
              </w:rPr>
            </w:pPr>
          </w:p>
        </w:tc>
        <w:tc>
          <w:tcPr>
            <w:tcW w:w="660" w:type="dxa"/>
            <w:tcBorders>
              <w:top w:val="nil"/>
              <w:left w:val="nil"/>
              <w:bottom w:val="nil"/>
              <w:right w:val="nil"/>
            </w:tcBorders>
            <w:noWrap/>
            <w:vAlign w:val="bottom"/>
            <w:hideMark/>
          </w:tcPr>
          <w:p w14:paraId="01E595FA"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5FB73E55"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13DF2AA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723" w:type="dxa"/>
            <w:tcBorders>
              <w:top w:val="nil"/>
              <w:left w:val="nil"/>
              <w:bottom w:val="nil"/>
              <w:right w:val="nil"/>
            </w:tcBorders>
            <w:noWrap/>
            <w:vAlign w:val="bottom"/>
            <w:hideMark/>
          </w:tcPr>
          <w:p w14:paraId="73744F76"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5" w:type="dxa"/>
            <w:tcBorders>
              <w:top w:val="nil"/>
              <w:left w:val="nil"/>
              <w:bottom w:val="nil"/>
              <w:right w:val="nil"/>
            </w:tcBorders>
            <w:noWrap/>
            <w:vAlign w:val="bottom"/>
            <w:hideMark/>
          </w:tcPr>
          <w:p w14:paraId="5019594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02" w:type="dxa"/>
            <w:tcBorders>
              <w:top w:val="nil"/>
              <w:left w:val="nil"/>
              <w:bottom w:val="nil"/>
              <w:right w:val="nil"/>
            </w:tcBorders>
            <w:noWrap/>
            <w:vAlign w:val="bottom"/>
            <w:hideMark/>
          </w:tcPr>
          <w:p w14:paraId="7783CD7D"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692" w:type="dxa"/>
            <w:tcBorders>
              <w:top w:val="nil"/>
              <w:left w:val="nil"/>
              <w:bottom w:val="nil"/>
              <w:right w:val="nil"/>
            </w:tcBorders>
            <w:noWrap/>
            <w:vAlign w:val="bottom"/>
            <w:hideMark/>
          </w:tcPr>
          <w:p w14:paraId="166F318B"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29" w:type="dxa"/>
            <w:tcBorders>
              <w:top w:val="nil"/>
              <w:left w:val="nil"/>
              <w:bottom w:val="nil"/>
              <w:right w:val="nil"/>
            </w:tcBorders>
            <w:noWrap/>
            <w:vAlign w:val="bottom"/>
            <w:hideMark/>
          </w:tcPr>
          <w:p w14:paraId="42CC6229"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26F925DE" w14:textId="77777777" w:rsidTr="00D859EA">
        <w:trPr>
          <w:trHeight w:val="290"/>
        </w:trPr>
        <w:tc>
          <w:tcPr>
            <w:tcW w:w="2268" w:type="dxa"/>
            <w:tcBorders>
              <w:top w:val="nil"/>
              <w:left w:val="nil"/>
              <w:bottom w:val="nil"/>
              <w:right w:val="nil"/>
            </w:tcBorders>
            <w:noWrap/>
            <w:vAlign w:val="bottom"/>
            <w:hideMark/>
          </w:tcPr>
          <w:p w14:paraId="362EE623"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&lt; 2 million rupiah</w:t>
            </w:r>
          </w:p>
        </w:tc>
        <w:tc>
          <w:tcPr>
            <w:tcW w:w="709" w:type="dxa"/>
            <w:tcBorders>
              <w:top w:val="nil"/>
              <w:left w:val="nil"/>
              <w:bottom w:val="nil"/>
              <w:right w:val="nil"/>
            </w:tcBorders>
            <w:noWrap/>
            <w:vAlign w:val="bottom"/>
            <w:hideMark/>
          </w:tcPr>
          <w:p w14:paraId="403F9027"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15.7</w:t>
            </w:r>
          </w:p>
        </w:tc>
        <w:tc>
          <w:tcPr>
            <w:tcW w:w="660" w:type="dxa"/>
            <w:tcBorders>
              <w:top w:val="nil"/>
              <w:left w:val="nil"/>
              <w:bottom w:val="nil"/>
              <w:right w:val="nil"/>
            </w:tcBorders>
            <w:noWrap/>
            <w:vAlign w:val="bottom"/>
            <w:hideMark/>
          </w:tcPr>
          <w:p w14:paraId="6189EDE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03797B10"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12.8</w:t>
            </w:r>
          </w:p>
        </w:tc>
        <w:tc>
          <w:tcPr>
            <w:tcW w:w="692" w:type="dxa"/>
            <w:tcBorders>
              <w:top w:val="nil"/>
              <w:left w:val="nil"/>
              <w:bottom w:val="nil"/>
              <w:right w:val="nil"/>
            </w:tcBorders>
            <w:noWrap/>
            <w:vAlign w:val="bottom"/>
            <w:hideMark/>
          </w:tcPr>
          <w:p w14:paraId="6672BFB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5B32DF4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17.5</w:t>
            </w:r>
          </w:p>
        </w:tc>
        <w:tc>
          <w:tcPr>
            <w:tcW w:w="695" w:type="dxa"/>
            <w:tcBorders>
              <w:top w:val="nil"/>
              <w:left w:val="nil"/>
              <w:bottom w:val="nil"/>
              <w:right w:val="nil"/>
            </w:tcBorders>
            <w:noWrap/>
            <w:vAlign w:val="bottom"/>
            <w:hideMark/>
          </w:tcPr>
          <w:p w14:paraId="49AD4971"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17E73DE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13.8</w:t>
            </w:r>
          </w:p>
        </w:tc>
        <w:tc>
          <w:tcPr>
            <w:tcW w:w="692" w:type="dxa"/>
            <w:tcBorders>
              <w:top w:val="nil"/>
              <w:left w:val="nil"/>
              <w:bottom w:val="nil"/>
              <w:right w:val="nil"/>
            </w:tcBorders>
            <w:noWrap/>
            <w:vAlign w:val="bottom"/>
            <w:hideMark/>
          </w:tcPr>
          <w:p w14:paraId="1D3FB10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2F77EE2E" w14:textId="49621956"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0.00</w:t>
            </w:r>
            <w:r w:rsidR="00450094" w:rsidRPr="00450094">
              <w:rPr>
                <w:rFonts w:asciiTheme="majorHAnsi" w:eastAsia="Times New Roman" w:hAnsiTheme="majorHAnsi" w:cs="Calibri"/>
                <w:color w:val="000000"/>
                <w:sz w:val="14"/>
                <w:szCs w:val="14"/>
                <w:vertAlign w:val="superscript"/>
                <w:lang w:val="en-ID" w:eastAsia="en-ID"/>
              </w:rPr>
              <w:t xml:space="preserve"> b</w:t>
            </w:r>
          </w:p>
        </w:tc>
      </w:tr>
      <w:tr w:rsidR="00A117A8" w:rsidRPr="00A117A8" w14:paraId="2B83D08C" w14:textId="77777777" w:rsidTr="00D859EA">
        <w:trPr>
          <w:trHeight w:val="290"/>
        </w:trPr>
        <w:tc>
          <w:tcPr>
            <w:tcW w:w="2268" w:type="dxa"/>
            <w:tcBorders>
              <w:top w:val="nil"/>
              <w:left w:val="nil"/>
              <w:bottom w:val="nil"/>
              <w:right w:val="nil"/>
            </w:tcBorders>
            <w:noWrap/>
            <w:vAlign w:val="bottom"/>
            <w:hideMark/>
          </w:tcPr>
          <w:p w14:paraId="3F2E703E"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2 - 5 million rupiah</w:t>
            </w:r>
          </w:p>
        </w:tc>
        <w:tc>
          <w:tcPr>
            <w:tcW w:w="709" w:type="dxa"/>
            <w:tcBorders>
              <w:top w:val="nil"/>
              <w:left w:val="nil"/>
              <w:bottom w:val="nil"/>
              <w:right w:val="nil"/>
            </w:tcBorders>
            <w:noWrap/>
            <w:vAlign w:val="bottom"/>
            <w:hideMark/>
          </w:tcPr>
          <w:p w14:paraId="7394D60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52.6</w:t>
            </w:r>
          </w:p>
        </w:tc>
        <w:tc>
          <w:tcPr>
            <w:tcW w:w="660" w:type="dxa"/>
            <w:tcBorders>
              <w:top w:val="nil"/>
              <w:left w:val="nil"/>
              <w:bottom w:val="nil"/>
              <w:right w:val="nil"/>
            </w:tcBorders>
            <w:noWrap/>
            <w:vAlign w:val="bottom"/>
            <w:hideMark/>
          </w:tcPr>
          <w:p w14:paraId="2FE3029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32E80C7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79.5</w:t>
            </w:r>
          </w:p>
        </w:tc>
        <w:tc>
          <w:tcPr>
            <w:tcW w:w="692" w:type="dxa"/>
            <w:tcBorders>
              <w:top w:val="nil"/>
              <w:left w:val="nil"/>
              <w:bottom w:val="nil"/>
              <w:right w:val="nil"/>
            </w:tcBorders>
            <w:noWrap/>
            <w:vAlign w:val="bottom"/>
            <w:hideMark/>
          </w:tcPr>
          <w:p w14:paraId="0B33EDE2"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723" w:type="dxa"/>
            <w:tcBorders>
              <w:top w:val="nil"/>
              <w:left w:val="nil"/>
              <w:bottom w:val="nil"/>
              <w:right w:val="nil"/>
            </w:tcBorders>
            <w:noWrap/>
            <w:vAlign w:val="bottom"/>
            <w:hideMark/>
          </w:tcPr>
          <w:p w14:paraId="62399BB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48.6</w:t>
            </w:r>
          </w:p>
        </w:tc>
        <w:tc>
          <w:tcPr>
            <w:tcW w:w="695" w:type="dxa"/>
            <w:tcBorders>
              <w:top w:val="nil"/>
              <w:left w:val="nil"/>
              <w:bottom w:val="nil"/>
              <w:right w:val="nil"/>
            </w:tcBorders>
            <w:noWrap/>
            <w:vAlign w:val="bottom"/>
            <w:hideMark/>
          </w:tcPr>
          <w:p w14:paraId="57189B0B"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02" w:type="dxa"/>
            <w:tcBorders>
              <w:top w:val="nil"/>
              <w:left w:val="nil"/>
              <w:bottom w:val="nil"/>
              <w:right w:val="nil"/>
            </w:tcBorders>
            <w:noWrap/>
            <w:vAlign w:val="bottom"/>
            <w:hideMark/>
          </w:tcPr>
          <w:p w14:paraId="6600D8B9"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49.5</w:t>
            </w:r>
          </w:p>
        </w:tc>
        <w:tc>
          <w:tcPr>
            <w:tcW w:w="692" w:type="dxa"/>
            <w:tcBorders>
              <w:top w:val="nil"/>
              <w:left w:val="nil"/>
              <w:bottom w:val="nil"/>
              <w:right w:val="nil"/>
            </w:tcBorders>
            <w:noWrap/>
            <w:vAlign w:val="bottom"/>
            <w:hideMark/>
          </w:tcPr>
          <w:p w14:paraId="49872858"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29" w:type="dxa"/>
            <w:tcBorders>
              <w:top w:val="nil"/>
              <w:left w:val="nil"/>
              <w:bottom w:val="nil"/>
              <w:right w:val="nil"/>
            </w:tcBorders>
            <w:noWrap/>
            <w:vAlign w:val="bottom"/>
            <w:hideMark/>
          </w:tcPr>
          <w:p w14:paraId="61238A77" w14:textId="77777777" w:rsidR="00A117A8" w:rsidRPr="00A117A8" w:rsidRDefault="00A117A8" w:rsidP="00A117A8">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A117A8" w:rsidRPr="00A117A8" w14:paraId="7AAE41A6" w14:textId="77777777" w:rsidTr="00D859EA">
        <w:trPr>
          <w:trHeight w:val="290"/>
        </w:trPr>
        <w:tc>
          <w:tcPr>
            <w:tcW w:w="2268" w:type="dxa"/>
            <w:tcBorders>
              <w:top w:val="nil"/>
              <w:left w:val="nil"/>
              <w:bottom w:val="single" w:sz="4" w:space="0" w:color="auto"/>
              <w:right w:val="nil"/>
            </w:tcBorders>
            <w:noWrap/>
            <w:vAlign w:val="bottom"/>
            <w:hideMark/>
          </w:tcPr>
          <w:p w14:paraId="7AE4521D" w14:textId="77777777" w:rsidR="00A117A8" w:rsidRPr="00A117A8" w:rsidRDefault="00A117A8" w:rsidP="00A117A8">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&gt; 5 million rupiah</w:t>
            </w:r>
          </w:p>
        </w:tc>
        <w:tc>
          <w:tcPr>
            <w:tcW w:w="709" w:type="dxa"/>
            <w:tcBorders>
              <w:top w:val="nil"/>
              <w:left w:val="nil"/>
              <w:bottom w:val="single" w:sz="4" w:space="0" w:color="auto"/>
              <w:right w:val="nil"/>
            </w:tcBorders>
            <w:noWrap/>
            <w:vAlign w:val="bottom"/>
            <w:hideMark/>
          </w:tcPr>
          <w:p w14:paraId="242F18C6"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31.6</w:t>
            </w:r>
          </w:p>
        </w:tc>
        <w:tc>
          <w:tcPr>
            <w:tcW w:w="660" w:type="dxa"/>
            <w:tcBorders>
              <w:top w:val="nil"/>
              <w:left w:val="nil"/>
              <w:bottom w:val="single" w:sz="4" w:space="0" w:color="auto"/>
              <w:right w:val="nil"/>
            </w:tcBorders>
            <w:noWrap/>
            <w:vAlign w:val="bottom"/>
            <w:hideMark/>
          </w:tcPr>
          <w:p w14:paraId="3DD62FAF"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902" w:type="dxa"/>
            <w:tcBorders>
              <w:top w:val="nil"/>
              <w:left w:val="nil"/>
              <w:bottom w:val="single" w:sz="4" w:space="0" w:color="auto"/>
              <w:right w:val="nil"/>
            </w:tcBorders>
            <w:noWrap/>
            <w:vAlign w:val="bottom"/>
            <w:hideMark/>
          </w:tcPr>
          <w:p w14:paraId="5CF0188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7.7</w:t>
            </w:r>
          </w:p>
        </w:tc>
        <w:tc>
          <w:tcPr>
            <w:tcW w:w="692" w:type="dxa"/>
            <w:tcBorders>
              <w:top w:val="nil"/>
              <w:left w:val="nil"/>
              <w:bottom w:val="single" w:sz="4" w:space="0" w:color="auto"/>
              <w:right w:val="nil"/>
            </w:tcBorders>
            <w:noWrap/>
            <w:vAlign w:val="bottom"/>
            <w:hideMark/>
          </w:tcPr>
          <w:p w14:paraId="01EABA1C"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723" w:type="dxa"/>
            <w:tcBorders>
              <w:top w:val="nil"/>
              <w:left w:val="nil"/>
              <w:bottom w:val="single" w:sz="4" w:space="0" w:color="auto"/>
              <w:right w:val="nil"/>
            </w:tcBorders>
            <w:noWrap/>
            <w:vAlign w:val="bottom"/>
            <w:hideMark/>
          </w:tcPr>
          <w:p w14:paraId="24F27254"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33.9</w:t>
            </w:r>
          </w:p>
        </w:tc>
        <w:tc>
          <w:tcPr>
            <w:tcW w:w="695" w:type="dxa"/>
            <w:tcBorders>
              <w:top w:val="nil"/>
              <w:left w:val="nil"/>
              <w:bottom w:val="single" w:sz="4" w:space="0" w:color="auto"/>
              <w:right w:val="nil"/>
            </w:tcBorders>
            <w:noWrap/>
            <w:vAlign w:val="bottom"/>
            <w:hideMark/>
          </w:tcPr>
          <w:p w14:paraId="0418D62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902" w:type="dxa"/>
            <w:tcBorders>
              <w:top w:val="nil"/>
              <w:left w:val="nil"/>
              <w:bottom w:val="single" w:sz="4" w:space="0" w:color="auto"/>
              <w:right w:val="nil"/>
            </w:tcBorders>
            <w:noWrap/>
            <w:vAlign w:val="bottom"/>
            <w:hideMark/>
          </w:tcPr>
          <w:p w14:paraId="47DCC4FA"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36.7</w:t>
            </w:r>
          </w:p>
        </w:tc>
        <w:tc>
          <w:tcPr>
            <w:tcW w:w="692" w:type="dxa"/>
            <w:tcBorders>
              <w:top w:val="nil"/>
              <w:left w:val="nil"/>
              <w:bottom w:val="single" w:sz="4" w:space="0" w:color="auto"/>
              <w:right w:val="nil"/>
            </w:tcBorders>
            <w:noWrap/>
            <w:vAlign w:val="bottom"/>
            <w:hideMark/>
          </w:tcPr>
          <w:p w14:paraId="7B7D7BBD"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c>
          <w:tcPr>
            <w:tcW w:w="829" w:type="dxa"/>
            <w:tcBorders>
              <w:top w:val="nil"/>
              <w:left w:val="nil"/>
              <w:bottom w:val="single" w:sz="4" w:space="0" w:color="auto"/>
              <w:right w:val="nil"/>
            </w:tcBorders>
            <w:noWrap/>
            <w:vAlign w:val="bottom"/>
            <w:hideMark/>
          </w:tcPr>
          <w:p w14:paraId="18010875" w14:textId="77777777" w:rsidR="00A117A8" w:rsidRPr="00A117A8" w:rsidRDefault="00A117A8" w:rsidP="00A117A8">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A117A8">
              <w:rPr>
                <w:rFonts w:asciiTheme="majorHAnsi" w:eastAsia="Times New Roman" w:hAnsiTheme="majorHAnsi" w:cs="Calibri"/>
                <w:color w:val="000000"/>
                <w:sz w:val="14"/>
                <w:szCs w:val="14"/>
                <w:lang w:val="en-ID" w:eastAsia="en-ID"/>
              </w:rPr>
              <w:t> </w:t>
            </w:r>
          </w:p>
        </w:tc>
      </w:tr>
    </w:tbl>
    <w:p w14:paraId="59397264" w14:textId="314BB51C" w:rsidR="00BD66C2" w:rsidRDefault="00EB6D45" w:rsidP="00EB6D45">
      <w:pPr>
        <w:pStyle w:val="NoSpacing1"/>
        <w:adjustRightInd w:val="0"/>
        <w:snapToGrid w:val="0"/>
        <w:ind w:left="142"/>
        <w:rPr>
          <w:rFonts w:asciiTheme="majorHAnsi" w:hAnsiTheme="majorHAnsi"/>
          <w:sz w:val="14"/>
          <w:szCs w:val="14"/>
        </w:rPr>
      </w:pPr>
      <w:r w:rsidRPr="00BD66C2">
        <w:rPr>
          <w:rFonts w:asciiTheme="majorHAnsi" w:hAnsiTheme="majorHAnsi"/>
          <w:sz w:val="14"/>
          <w:szCs w:val="14"/>
        </w:rPr>
        <w:t>Values are presented as mean ± SD for continuous variables and % for categorical variables.</w:t>
      </w:r>
      <w:r w:rsidRPr="00BD66C2">
        <w:rPr>
          <w:rFonts w:asciiTheme="majorHAnsi" w:hAnsiTheme="majorHAnsi"/>
          <w:sz w:val="14"/>
          <w:szCs w:val="14"/>
        </w:rPr>
        <w:br/>
      </w:r>
      <w:r w:rsidRPr="00BD66C2">
        <w:rPr>
          <w:rFonts w:asciiTheme="majorHAnsi" w:hAnsiTheme="majorHAnsi"/>
          <w:i/>
          <w:iCs/>
          <w:sz w:val="14"/>
          <w:szCs w:val="14"/>
        </w:rPr>
        <w:t>p-</w:t>
      </w:r>
      <w:r w:rsidRPr="00BD66C2">
        <w:rPr>
          <w:rFonts w:asciiTheme="majorHAnsi" w:hAnsiTheme="majorHAnsi"/>
          <w:sz w:val="14"/>
          <w:szCs w:val="14"/>
        </w:rPr>
        <w:t>values &lt; 0.05 are considered statistically significant.</w:t>
      </w:r>
      <w:r w:rsidRPr="00BD66C2">
        <w:rPr>
          <w:rFonts w:asciiTheme="majorHAnsi" w:hAnsiTheme="majorHAnsi"/>
          <w:sz w:val="14"/>
          <w:szCs w:val="14"/>
        </w:rPr>
        <w:br/>
      </w:r>
      <w:r w:rsidR="00BD66C2">
        <w:rPr>
          <w:rFonts w:asciiTheme="majorHAnsi" w:hAnsiTheme="majorHAnsi"/>
          <w:sz w:val="14"/>
          <w:szCs w:val="14"/>
        </w:rPr>
        <w:t xml:space="preserve">a) </w:t>
      </w:r>
      <w:r w:rsidRPr="00BD66C2">
        <w:rPr>
          <w:rFonts w:asciiTheme="majorHAnsi" w:hAnsiTheme="majorHAnsi"/>
          <w:i/>
          <w:iCs/>
          <w:sz w:val="14"/>
          <w:szCs w:val="14"/>
        </w:rPr>
        <w:t>p</w:t>
      </w:r>
      <w:r w:rsidRPr="00BD66C2">
        <w:rPr>
          <w:rFonts w:asciiTheme="majorHAnsi" w:hAnsiTheme="majorHAnsi"/>
          <w:sz w:val="14"/>
          <w:szCs w:val="14"/>
        </w:rPr>
        <w:t>-values were obtained using Kruskal–Wallis test (for non-normally distributed continuous variables)</w:t>
      </w:r>
      <w:r w:rsidR="00BD66C2">
        <w:rPr>
          <w:rFonts w:asciiTheme="majorHAnsi" w:hAnsiTheme="majorHAnsi"/>
          <w:sz w:val="14"/>
          <w:szCs w:val="14"/>
        </w:rPr>
        <w:t>.</w:t>
      </w:r>
    </w:p>
    <w:p w14:paraId="6D860320" w14:textId="34635474" w:rsidR="00EB6D45" w:rsidRPr="00BD66C2" w:rsidRDefault="00BD66C2" w:rsidP="00EB6D45">
      <w:pPr>
        <w:pStyle w:val="NoSpacing1"/>
        <w:adjustRightInd w:val="0"/>
        <w:snapToGrid w:val="0"/>
        <w:ind w:left="142"/>
        <w:rPr>
          <w:rFonts w:asciiTheme="majorHAnsi" w:eastAsia="PMingLiU" w:hAnsiTheme="majorHAnsi"/>
          <w:b/>
          <w:sz w:val="14"/>
          <w:szCs w:val="14"/>
          <w:lang w:eastAsia="zh-TW"/>
        </w:rPr>
      </w:pPr>
      <w:r>
        <w:rPr>
          <w:rFonts w:asciiTheme="majorHAnsi" w:hAnsiTheme="majorHAnsi"/>
          <w:sz w:val="14"/>
          <w:szCs w:val="14"/>
        </w:rPr>
        <w:t>b)</w:t>
      </w:r>
      <w:r w:rsidR="00EB6D45" w:rsidRPr="00BD66C2">
        <w:rPr>
          <w:rFonts w:asciiTheme="majorHAnsi" w:hAnsiTheme="majorHAnsi"/>
          <w:sz w:val="14"/>
          <w:szCs w:val="14"/>
        </w:rPr>
        <w:t xml:space="preserve"> Chi-square test/Fisher-exact test (for categorical variables).</w:t>
      </w:r>
    </w:p>
    <w:p w14:paraId="7AB7993E" w14:textId="32F77561" w:rsidR="002F2802" w:rsidRDefault="002F2802" w:rsidP="00EB6D45">
      <w:pPr>
        <w:pStyle w:val="BodyText"/>
        <w:spacing w:line="276" w:lineRule="auto"/>
        <w:ind w:right="127"/>
        <w:jc w:val="both"/>
        <w:rPr>
          <w:rFonts w:asciiTheme="majorHAnsi" w:hAnsiTheme="majorHAnsi"/>
          <w:color w:val="231F20"/>
        </w:rPr>
      </w:pPr>
    </w:p>
    <w:p w14:paraId="146092F8" w14:textId="1ADEA735" w:rsidR="00450094" w:rsidRDefault="00B51D6F" w:rsidP="000B334F">
      <w:pPr>
        <w:pStyle w:val="BodyText"/>
        <w:spacing w:line="276" w:lineRule="auto"/>
        <w:ind w:left="140" w:right="127" w:firstLine="283"/>
        <w:jc w:val="both"/>
        <w:rPr>
          <w:rFonts w:asciiTheme="majorHAnsi" w:hAnsiTheme="majorHAnsi"/>
          <w:color w:val="231F20"/>
        </w:rPr>
      </w:pPr>
      <w:r>
        <w:rPr>
          <w:rFonts w:asciiTheme="majorHAnsi" w:hAnsiTheme="majorHAnsi"/>
          <w:color w:val="231F20"/>
        </w:rPr>
        <w:t xml:space="preserve">Among 325 children, the </w:t>
      </w:r>
      <w:r w:rsidRPr="00B51D6F">
        <w:rPr>
          <w:rFonts w:asciiTheme="majorHAnsi" w:hAnsiTheme="majorHAnsi"/>
          <w:color w:val="231F20"/>
        </w:rPr>
        <w:t>mean age was 4.6</w:t>
      </w:r>
      <w:r w:rsidRPr="00B51D6F">
        <w:rPr>
          <w:rFonts w:asciiTheme="majorHAnsi" w:hAnsiTheme="majorHAnsi"/>
        </w:rPr>
        <w:t>±1.0 years</w:t>
      </w:r>
      <w:r>
        <w:rPr>
          <w:rFonts w:asciiTheme="majorHAnsi" w:hAnsiTheme="majorHAnsi"/>
        </w:rPr>
        <w:t>, with significant difference between regions. Weight, height, BMI-for-age, and parental age also varied significantly. Most children were cared by their parents, and over half of parent completed college education, maternal education and caregiver type differed significantly across regions. Household income showed significant variation, with most families earning 2-5 million rupiah monthly. The prevalence pf picky eating was 14.8% and did not differ across regions (Table 1).</w:t>
      </w:r>
    </w:p>
    <w:p w14:paraId="2A7FA121" w14:textId="77777777" w:rsidR="00B51D6F" w:rsidRDefault="00B51D6F" w:rsidP="000B334F">
      <w:pPr>
        <w:pStyle w:val="BodyText"/>
        <w:spacing w:line="276" w:lineRule="auto"/>
        <w:ind w:left="140" w:right="127" w:firstLine="283"/>
        <w:jc w:val="both"/>
        <w:rPr>
          <w:rFonts w:asciiTheme="majorHAnsi" w:hAnsiTheme="majorHAnsi"/>
          <w:color w:val="231F20"/>
        </w:rPr>
      </w:pPr>
    </w:p>
    <w:p w14:paraId="4F342A7D" w14:textId="4C94D4B2" w:rsidR="002F2802" w:rsidRPr="00D859EA" w:rsidRDefault="00202929" w:rsidP="00D859EA">
      <w:pPr>
        <w:pStyle w:val="BodyText"/>
        <w:spacing w:line="276" w:lineRule="auto"/>
        <w:ind w:left="140" w:right="127" w:firstLine="2"/>
        <w:jc w:val="both"/>
        <w:rPr>
          <w:rFonts w:asciiTheme="majorHAnsi" w:hAnsiTheme="majorHAnsi"/>
          <w:b/>
          <w:bCs/>
          <w:color w:val="231F20"/>
          <w:sz w:val="14"/>
          <w:szCs w:val="14"/>
        </w:rPr>
      </w:pPr>
      <w:r w:rsidRPr="00D859EA">
        <w:rPr>
          <w:rFonts w:asciiTheme="majorHAnsi" w:hAnsiTheme="majorHAnsi"/>
          <w:b/>
          <w:bCs/>
          <w:color w:val="231F20"/>
          <w:sz w:val="14"/>
          <w:szCs w:val="14"/>
        </w:rPr>
        <w:t xml:space="preserve">Table 2. The association of Picky </w:t>
      </w:r>
      <w:r w:rsidR="00D859EA">
        <w:rPr>
          <w:rFonts w:asciiTheme="majorHAnsi" w:hAnsiTheme="majorHAnsi"/>
          <w:b/>
          <w:bCs/>
          <w:color w:val="231F20"/>
          <w:sz w:val="14"/>
          <w:szCs w:val="14"/>
        </w:rPr>
        <w:t>E</w:t>
      </w:r>
      <w:r w:rsidRPr="00D859EA">
        <w:rPr>
          <w:rFonts w:asciiTheme="majorHAnsi" w:hAnsiTheme="majorHAnsi"/>
          <w:b/>
          <w:bCs/>
          <w:color w:val="231F20"/>
          <w:sz w:val="14"/>
          <w:szCs w:val="14"/>
        </w:rPr>
        <w:t>ating,</w:t>
      </w:r>
      <w:r w:rsidRPr="00D859EA">
        <w:rPr>
          <w:rFonts w:asciiTheme="majorHAnsi" w:hAnsiTheme="majorHAnsi"/>
          <w:b/>
          <w:bCs/>
          <w:color w:val="231F20"/>
        </w:rPr>
        <w:t xml:space="preserve"> </w:t>
      </w:r>
      <w:r w:rsidRPr="00D859EA">
        <w:rPr>
          <w:rFonts w:asciiTheme="majorHAnsi" w:hAnsiTheme="majorHAnsi"/>
          <w:b/>
          <w:bCs/>
          <w:sz w:val="14"/>
          <w:szCs w:val="14"/>
        </w:rPr>
        <w:t>Feeding Practices, Caregiver Type, Health and Nutritional Status</w:t>
      </w:r>
    </w:p>
    <w:tbl>
      <w:tblPr>
        <w:tblW w:w="8034" w:type="dxa"/>
        <w:tblInd w:w="142" w:type="dxa"/>
        <w:tblLook w:val="04A0" w:firstRow="1" w:lastRow="0" w:firstColumn="1" w:lastColumn="0" w:noHBand="0" w:noVBand="1"/>
      </w:tblPr>
      <w:tblGrid>
        <w:gridCol w:w="2268"/>
        <w:gridCol w:w="708"/>
        <w:gridCol w:w="713"/>
        <w:gridCol w:w="847"/>
        <w:gridCol w:w="835"/>
        <w:gridCol w:w="866"/>
        <w:gridCol w:w="837"/>
        <w:gridCol w:w="960"/>
      </w:tblGrid>
      <w:tr w:rsidR="00202929" w:rsidRPr="00202929" w14:paraId="0C562FEB" w14:textId="77777777" w:rsidTr="00D859EA">
        <w:trPr>
          <w:trHeight w:val="290"/>
        </w:trPr>
        <w:tc>
          <w:tcPr>
            <w:tcW w:w="2268" w:type="dxa"/>
            <w:tcBorders>
              <w:top w:val="single" w:sz="4" w:space="0" w:color="auto"/>
              <w:left w:val="nil"/>
              <w:bottom w:val="nil"/>
              <w:right w:val="nil"/>
            </w:tcBorders>
            <w:noWrap/>
            <w:vAlign w:val="bottom"/>
            <w:hideMark/>
          </w:tcPr>
          <w:p w14:paraId="773DEA35"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Variables</w:t>
            </w:r>
          </w:p>
        </w:tc>
        <w:tc>
          <w:tcPr>
            <w:tcW w:w="1421" w:type="dxa"/>
            <w:gridSpan w:val="2"/>
            <w:tcBorders>
              <w:top w:val="single" w:sz="4" w:space="0" w:color="auto"/>
              <w:left w:val="nil"/>
              <w:bottom w:val="nil"/>
              <w:right w:val="nil"/>
            </w:tcBorders>
            <w:noWrap/>
            <w:vAlign w:val="bottom"/>
            <w:hideMark/>
          </w:tcPr>
          <w:p w14:paraId="1D4EF615"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All (N=325)</w:t>
            </w:r>
          </w:p>
        </w:tc>
        <w:tc>
          <w:tcPr>
            <w:tcW w:w="3385" w:type="dxa"/>
            <w:gridSpan w:val="4"/>
            <w:tcBorders>
              <w:top w:val="single" w:sz="4" w:space="0" w:color="auto"/>
              <w:left w:val="nil"/>
              <w:bottom w:val="nil"/>
              <w:right w:val="nil"/>
            </w:tcBorders>
            <w:noWrap/>
            <w:vAlign w:val="bottom"/>
            <w:hideMark/>
          </w:tcPr>
          <w:p w14:paraId="79433CCC"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Picky Eating</w:t>
            </w:r>
          </w:p>
        </w:tc>
        <w:tc>
          <w:tcPr>
            <w:tcW w:w="960" w:type="dxa"/>
            <w:tcBorders>
              <w:top w:val="single" w:sz="4" w:space="0" w:color="auto"/>
              <w:left w:val="nil"/>
              <w:bottom w:val="nil"/>
              <w:right w:val="nil"/>
            </w:tcBorders>
            <w:noWrap/>
            <w:vAlign w:val="bottom"/>
            <w:hideMark/>
          </w:tcPr>
          <w:p w14:paraId="23804EA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p-value</w:t>
            </w:r>
          </w:p>
        </w:tc>
      </w:tr>
      <w:tr w:rsidR="00202929" w:rsidRPr="00202929" w14:paraId="3D7152D6" w14:textId="77777777" w:rsidTr="00D859EA">
        <w:trPr>
          <w:trHeight w:val="290"/>
        </w:trPr>
        <w:tc>
          <w:tcPr>
            <w:tcW w:w="2268" w:type="dxa"/>
            <w:tcBorders>
              <w:top w:val="nil"/>
              <w:left w:val="nil"/>
              <w:bottom w:val="nil"/>
              <w:right w:val="nil"/>
            </w:tcBorders>
            <w:noWrap/>
            <w:vAlign w:val="bottom"/>
            <w:hideMark/>
          </w:tcPr>
          <w:p w14:paraId="6178F64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c>
          <w:tcPr>
            <w:tcW w:w="708" w:type="dxa"/>
            <w:tcBorders>
              <w:top w:val="nil"/>
              <w:left w:val="nil"/>
              <w:bottom w:val="nil"/>
              <w:right w:val="nil"/>
            </w:tcBorders>
            <w:noWrap/>
            <w:vAlign w:val="bottom"/>
            <w:hideMark/>
          </w:tcPr>
          <w:p w14:paraId="788CEC90" w14:textId="77777777" w:rsidR="00202929" w:rsidRPr="00202929" w:rsidRDefault="00202929" w:rsidP="00202929">
            <w:pPr>
              <w:widowControl/>
              <w:autoSpaceDE/>
              <w:autoSpaceDN/>
              <w:spacing w:line="276" w:lineRule="auto"/>
              <w:rPr>
                <w:rFonts w:asciiTheme="majorHAnsi" w:eastAsia="Times New Roman" w:hAnsiTheme="majorHAnsi" w:cs="Times New Roman"/>
                <w:sz w:val="14"/>
                <w:szCs w:val="14"/>
                <w:lang w:val="en-ID" w:eastAsia="en-ID"/>
              </w:rPr>
            </w:pPr>
          </w:p>
        </w:tc>
        <w:tc>
          <w:tcPr>
            <w:tcW w:w="713" w:type="dxa"/>
            <w:tcBorders>
              <w:top w:val="nil"/>
              <w:left w:val="nil"/>
              <w:bottom w:val="nil"/>
              <w:right w:val="nil"/>
            </w:tcBorders>
            <w:noWrap/>
            <w:vAlign w:val="bottom"/>
            <w:hideMark/>
          </w:tcPr>
          <w:p w14:paraId="515C4A4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1682" w:type="dxa"/>
            <w:gridSpan w:val="2"/>
            <w:tcBorders>
              <w:top w:val="nil"/>
              <w:left w:val="nil"/>
              <w:bottom w:val="nil"/>
              <w:right w:val="nil"/>
            </w:tcBorders>
            <w:noWrap/>
            <w:vAlign w:val="bottom"/>
            <w:hideMark/>
          </w:tcPr>
          <w:p w14:paraId="5C9B145C"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No (n=277)</w:t>
            </w:r>
          </w:p>
        </w:tc>
        <w:tc>
          <w:tcPr>
            <w:tcW w:w="1703" w:type="dxa"/>
            <w:gridSpan w:val="2"/>
            <w:tcBorders>
              <w:top w:val="nil"/>
              <w:left w:val="nil"/>
              <w:bottom w:val="nil"/>
              <w:right w:val="nil"/>
            </w:tcBorders>
            <w:noWrap/>
            <w:vAlign w:val="bottom"/>
            <w:hideMark/>
          </w:tcPr>
          <w:p w14:paraId="4468E39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Yes (n=48)</w:t>
            </w:r>
          </w:p>
        </w:tc>
        <w:tc>
          <w:tcPr>
            <w:tcW w:w="960" w:type="dxa"/>
            <w:tcBorders>
              <w:top w:val="nil"/>
              <w:left w:val="nil"/>
              <w:bottom w:val="nil"/>
              <w:right w:val="nil"/>
            </w:tcBorders>
            <w:noWrap/>
            <w:vAlign w:val="bottom"/>
            <w:hideMark/>
          </w:tcPr>
          <w:p w14:paraId="06EFED5A"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p>
        </w:tc>
      </w:tr>
      <w:tr w:rsidR="00202929" w:rsidRPr="00202929" w14:paraId="5587387D" w14:textId="77777777" w:rsidTr="00D859EA">
        <w:trPr>
          <w:trHeight w:val="290"/>
        </w:trPr>
        <w:tc>
          <w:tcPr>
            <w:tcW w:w="2268" w:type="dxa"/>
            <w:tcBorders>
              <w:top w:val="nil"/>
              <w:left w:val="nil"/>
              <w:bottom w:val="single" w:sz="4" w:space="0" w:color="auto"/>
              <w:right w:val="nil"/>
            </w:tcBorders>
            <w:noWrap/>
            <w:vAlign w:val="bottom"/>
            <w:hideMark/>
          </w:tcPr>
          <w:p w14:paraId="3F83BDF9"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708" w:type="dxa"/>
            <w:tcBorders>
              <w:top w:val="nil"/>
              <w:left w:val="nil"/>
              <w:bottom w:val="single" w:sz="4" w:space="0" w:color="auto"/>
              <w:right w:val="nil"/>
            </w:tcBorders>
            <w:noWrap/>
            <w:vAlign w:val="bottom"/>
            <w:hideMark/>
          </w:tcPr>
          <w:p w14:paraId="3C1BD851"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Mean</w:t>
            </w:r>
          </w:p>
        </w:tc>
        <w:tc>
          <w:tcPr>
            <w:tcW w:w="713" w:type="dxa"/>
            <w:tcBorders>
              <w:top w:val="nil"/>
              <w:left w:val="nil"/>
              <w:bottom w:val="single" w:sz="4" w:space="0" w:color="auto"/>
              <w:right w:val="nil"/>
            </w:tcBorders>
            <w:noWrap/>
            <w:vAlign w:val="bottom"/>
            <w:hideMark/>
          </w:tcPr>
          <w:p w14:paraId="1346739F"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SD</w:t>
            </w:r>
          </w:p>
        </w:tc>
        <w:tc>
          <w:tcPr>
            <w:tcW w:w="847" w:type="dxa"/>
            <w:tcBorders>
              <w:top w:val="single" w:sz="4" w:space="0" w:color="auto"/>
              <w:left w:val="nil"/>
              <w:bottom w:val="single" w:sz="4" w:space="0" w:color="auto"/>
              <w:right w:val="nil"/>
            </w:tcBorders>
            <w:noWrap/>
            <w:vAlign w:val="bottom"/>
            <w:hideMark/>
          </w:tcPr>
          <w:p w14:paraId="10CE4639"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Mean</w:t>
            </w:r>
          </w:p>
        </w:tc>
        <w:tc>
          <w:tcPr>
            <w:tcW w:w="835" w:type="dxa"/>
            <w:tcBorders>
              <w:top w:val="single" w:sz="4" w:space="0" w:color="auto"/>
              <w:left w:val="nil"/>
              <w:bottom w:val="single" w:sz="4" w:space="0" w:color="auto"/>
              <w:right w:val="nil"/>
            </w:tcBorders>
            <w:noWrap/>
            <w:vAlign w:val="bottom"/>
            <w:hideMark/>
          </w:tcPr>
          <w:p w14:paraId="5468B9AB"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SD</w:t>
            </w:r>
          </w:p>
        </w:tc>
        <w:tc>
          <w:tcPr>
            <w:tcW w:w="866" w:type="dxa"/>
            <w:tcBorders>
              <w:top w:val="single" w:sz="4" w:space="0" w:color="auto"/>
              <w:left w:val="nil"/>
              <w:bottom w:val="single" w:sz="4" w:space="0" w:color="auto"/>
              <w:right w:val="nil"/>
            </w:tcBorders>
            <w:noWrap/>
            <w:vAlign w:val="bottom"/>
            <w:hideMark/>
          </w:tcPr>
          <w:p w14:paraId="50A7C177"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Mean</w:t>
            </w:r>
          </w:p>
        </w:tc>
        <w:tc>
          <w:tcPr>
            <w:tcW w:w="837" w:type="dxa"/>
            <w:tcBorders>
              <w:top w:val="single" w:sz="4" w:space="0" w:color="auto"/>
              <w:left w:val="nil"/>
              <w:bottom w:val="single" w:sz="4" w:space="0" w:color="auto"/>
              <w:right w:val="nil"/>
            </w:tcBorders>
            <w:noWrap/>
            <w:vAlign w:val="bottom"/>
            <w:hideMark/>
          </w:tcPr>
          <w:p w14:paraId="4EB5E518" w14:textId="77777777" w:rsidR="00202929" w:rsidRPr="00202929" w:rsidRDefault="00202929" w:rsidP="00202929">
            <w:pPr>
              <w:widowControl/>
              <w:autoSpaceDE/>
              <w:autoSpaceDN/>
              <w:spacing w:line="276" w:lineRule="auto"/>
              <w:jc w:val="center"/>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SD</w:t>
            </w:r>
          </w:p>
        </w:tc>
        <w:tc>
          <w:tcPr>
            <w:tcW w:w="960" w:type="dxa"/>
            <w:tcBorders>
              <w:top w:val="nil"/>
              <w:left w:val="nil"/>
              <w:bottom w:val="single" w:sz="4" w:space="0" w:color="auto"/>
              <w:right w:val="nil"/>
            </w:tcBorders>
            <w:noWrap/>
            <w:vAlign w:val="bottom"/>
            <w:hideMark/>
          </w:tcPr>
          <w:p w14:paraId="3322B50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r>
      <w:tr w:rsidR="00202929" w:rsidRPr="00202929" w14:paraId="415DF74A" w14:textId="77777777" w:rsidTr="00D859EA">
        <w:trPr>
          <w:trHeight w:val="290"/>
        </w:trPr>
        <w:tc>
          <w:tcPr>
            <w:tcW w:w="2268" w:type="dxa"/>
            <w:tcBorders>
              <w:top w:val="nil"/>
              <w:left w:val="nil"/>
              <w:bottom w:val="nil"/>
              <w:right w:val="nil"/>
            </w:tcBorders>
            <w:noWrap/>
            <w:vAlign w:val="bottom"/>
            <w:hideMark/>
          </w:tcPr>
          <w:p w14:paraId="3F8EEBAD"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Weight (kg)</w:t>
            </w:r>
          </w:p>
        </w:tc>
        <w:tc>
          <w:tcPr>
            <w:tcW w:w="708" w:type="dxa"/>
            <w:tcBorders>
              <w:top w:val="nil"/>
              <w:left w:val="nil"/>
              <w:bottom w:val="nil"/>
              <w:right w:val="nil"/>
            </w:tcBorders>
            <w:noWrap/>
            <w:vAlign w:val="bottom"/>
            <w:hideMark/>
          </w:tcPr>
          <w:p w14:paraId="68F424A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17.9</w:t>
            </w:r>
          </w:p>
        </w:tc>
        <w:tc>
          <w:tcPr>
            <w:tcW w:w="713" w:type="dxa"/>
            <w:tcBorders>
              <w:top w:val="nil"/>
              <w:left w:val="nil"/>
              <w:bottom w:val="nil"/>
              <w:right w:val="nil"/>
            </w:tcBorders>
            <w:noWrap/>
            <w:vAlign w:val="bottom"/>
            <w:hideMark/>
          </w:tcPr>
          <w:p w14:paraId="792E646B"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4.6</w:t>
            </w:r>
          </w:p>
        </w:tc>
        <w:tc>
          <w:tcPr>
            <w:tcW w:w="847" w:type="dxa"/>
            <w:tcBorders>
              <w:top w:val="nil"/>
              <w:left w:val="nil"/>
              <w:bottom w:val="nil"/>
              <w:right w:val="nil"/>
            </w:tcBorders>
            <w:noWrap/>
            <w:vAlign w:val="bottom"/>
            <w:hideMark/>
          </w:tcPr>
          <w:p w14:paraId="03CF499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18.0</w:t>
            </w:r>
          </w:p>
        </w:tc>
        <w:tc>
          <w:tcPr>
            <w:tcW w:w="835" w:type="dxa"/>
            <w:tcBorders>
              <w:top w:val="nil"/>
              <w:left w:val="nil"/>
              <w:bottom w:val="nil"/>
              <w:right w:val="nil"/>
            </w:tcBorders>
            <w:noWrap/>
            <w:vAlign w:val="bottom"/>
            <w:hideMark/>
          </w:tcPr>
          <w:p w14:paraId="4247154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4.7</w:t>
            </w:r>
          </w:p>
        </w:tc>
        <w:tc>
          <w:tcPr>
            <w:tcW w:w="866" w:type="dxa"/>
            <w:tcBorders>
              <w:top w:val="nil"/>
              <w:left w:val="nil"/>
              <w:bottom w:val="nil"/>
              <w:right w:val="nil"/>
            </w:tcBorders>
            <w:noWrap/>
            <w:vAlign w:val="bottom"/>
            <w:hideMark/>
          </w:tcPr>
          <w:p w14:paraId="3C07FC1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17.1</w:t>
            </w:r>
          </w:p>
        </w:tc>
        <w:tc>
          <w:tcPr>
            <w:tcW w:w="837" w:type="dxa"/>
            <w:tcBorders>
              <w:top w:val="nil"/>
              <w:left w:val="nil"/>
              <w:bottom w:val="nil"/>
              <w:right w:val="nil"/>
            </w:tcBorders>
            <w:noWrap/>
            <w:vAlign w:val="bottom"/>
            <w:hideMark/>
          </w:tcPr>
          <w:p w14:paraId="195EDA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4.3</w:t>
            </w:r>
          </w:p>
        </w:tc>
        <w:tc>
          <w:tcPr>
            <w:tcW w:w="960" w:type="dxa"/>
            <w:tcBorders>
              <w:top w:val="nil"/>
              <w:left w:val="nil"/>
              <w:bottom w:val="nil"/>
              <w:right w:val="nil"/>
            </w:tcBorders>
            <w:noWrap/>
            <w:vAlign w:val="bottom"/>
            <w:hideMark/>
          </w:tcPr>
          <w:p w14:paraId="66E3847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0.13</w:t>
            </w:r>
          </w:p>
        </w:tc>
      </w:tr>
      <w:tr w:rsidR="00202929" w:rsidRPr="00202929" w14:paraId="572B15FA" w14:textId="77777777" w:rsidTr="00D859EA">
        <w:trPr>
          <w:trHeight w:val="290"/>
        </w:trPr>
        <w:tc>
          <w:tcPr>
            <w:tcW w:w="2268" w:type="dxa"/>
            <w:tcBorders>
              <w:top w:val="nil"/>
              <w:left w:val="nil"/>
              <w:bottom w:val="nil"/>
              <w:right w:val="nil"/>
            </w:tcBorders>
            <w:noWrap/>
            <w:vAlign w:val="bottom"/>
            <w:hideMark/>
          </w:tcPr>
          <w:p w14:paraId="4CE4A9D9"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Height (cm)</w:t>
            </w:r>
          </w:p>
        </w:tc>
        <w:tc>
          <w:tcPr>
            <w:tcW w:w="708" w:type="dxa"/>
            <w:tcBorders>
              <w:top w:val="nil"/>
              <w:left w:val="nil"/>
              <w:bottom w:val="nil"/>
              <w:right w:val="nil"/>
            </w:tcBorders>
            <w:noWrap/>
            <w:vAlign w:val="bottom"/>
            <w:hideMark/>
          </w:tcPr>
          <w:p w14:paraId="7B54CD1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98.6</w:t>
            </w:r>
          </w:p>
        </w:tc>
        <w:tc>
          <w:tcPr>
            <w:tcW w:w="713" w:type="dxa"/>
            <w:tcBorders>
              <w:top w:val="nil"/>
              <w:left w:val="nil"/>
              <w:bottom w:val="nil"/>
              <w:right w:val="nil"/>
            </w:tcBorders>
            <w:noWrap/>
            <w:vAlign w:val="bottom"/>
            <w:hideMark/>
          </w:tcPr>
          <w:p w14:paraId="7F4D9ED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18.2</w:t>
            </w:r>
          </w:p>
        </w:tc>
        <w:tc>
          <w:tcPr>
            <w:tcW w:w="847" w:type="dxa"/>
            <w:tcBorders>
              <w:top w:val="nil"/>
              <w:left w:val="nil"/>
              <w:bottom w:val="nil"/>
              <w:right w:val="nil"/>
            </w:tcBorders>
            <w:noWrap/>
            <w:vAlign w:val="bottom"/>
            <w:hideMark/>
          </w:tcPr>
          <w:p w14:paraId="5FD449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98.9</w:t>
            </w:r>
          </w:p>
        </w:tc>
        <w:tc>
          <w:tcPr>
            <w:tcW w:w="835" w:type="dxa"/>
            <w:tcBorders>
              <w:top w:val="nil"/>
              <w:left w:val="nil"/>
              <w:bottom w:val="nil"/>
              <w:right w:val="nil"/>
            </w:tcBorders>
            <w:noWrap/>
            <w:vAlign w:val="bottom"/>
            <w:hideMark/>
          </w:tcPr>
          <w:p w14:paraId="6E06E79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18.4</w:t>
            </w:r>
          </w:p>
        </w:tc>
        <w:tc>
          <w:tcPr>
            <w:tcW w:w="866" w:type="dxa"/>
            <w:tcBorders>
              <w:top w:val="nil"/>
              <w:left w:val="nil"/>
              <w:bottom w:val="nil"/>
              <w:right w:val="nil"/>
            </w:tcBorders>
            <w:noWrap/>
            <w:vAlign w:val="bottom"/>
            <w:hideMark/>
          </w:tcPr>
          <w:p w14:paraId="19EF227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97</w:t>
            </w:r>
          </w:p>
        </w:tc>
        <w:tc>
          <w:tcPr>
            <w:tcW w:w="837" w:type="dxa"/>
            <w:tcBorders>
              <w:top w:val="nil"/>
              <w:left w:val="nil"/>
              <w:bottom w:val="nil"/>
              <w:right w:val="nil"/>
            </w:tcBorders>
            <w:noWrap/>
            <w:vAlign w:val="bottom"/>
            <w:hideMark/>
          </w:tcPr>
          <w:p w14:paraId="060AC37F"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17.1</w:t>
            </w:r>
          </w:p>
        </w:tc>
        <w:tc>
          <w:tcPr>
            <w:tcW w:w="960" w:type="dxa"/>
            <w:tcBorders>
              <w:top w:val="nil"/>
              <w:left w:val="nil"/>
              <w:bottom w:val="nil"/>
              <w:right w:val="nil"/>
            </w:tcBorders>
            <w:noWrap/>
            <w:vAlign w:val="bottom"/>
            <w:hideMark/>
          </w:tcPr>
          <w:p w14:paraId="65FA877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0.21</w:t>
            </w:r>
          </w:p>
        </w:tc>
      </w:tr>
      <w:tr w:rsidR="00202929" w:rsidRPr="00202929" w14:paraId="00E9A652" w14:textId="77777777" w:rsidTr="00D859EA">
        <w:trPr>
          <w:trHeight w:val="290"/>
        </w:trPr>
        <w:tc>
          <w:tcPr>
            <w:tcW w:w="2268" w:type="dxa"/>
            <w:tcBorders>
              <w:top w:val="nil"/>
              <w:left w:val="nil"/>
              <w:bottom w:val="nil"/>
              <w:right w:val="nil"/>
            </w:tcBorders>
            <w:noWrap/>
            <w:vAlign w:val="bottom"/>
            <w:hideMark/>
          </w:tcPr>
          <w:p w14:paraId="2AF6F170" w14:textId="77777777" w:rsidR="00202929" w:rsidRPr="00202929" w:rsidRDefault="00202929" w:rsidP="00202929">
            <w:pPr>
              <w:widowControl/>
              <w:autoSpaceDE/>
              <w:autoSpaceDN/>
              <w:spacing w:line="276" w:lineRule="auto"/>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BMI-for-Age Z-score (BAZ)</w:t>
            </w:r>
          </w:p>
        </w:tc>
        <w:tc>
          <w:tcPr>
            <w:tcW w:w="708" w:type="dxa"/>
            <w:tcBorders>
              <w:top w:val="nil"/>
              <w:left w:val="nil"/>
              <w:bottom w:val="nil"/>
              <w:right w:val="nil"/>
            </w:tcBorders>
            <w:noWrap/>
            <w:vAlign w:val="bottom"/>
            <w:hideMark/>
          </w:tcPr>
          <w:p w14:paraId="5E99127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2.2</w:t>
            </w:r>
          </w:p>
        </w:tc>
        <w:tc>
          <w:tcPr>
            <w:tcW w:w="713" w:type="dxa"/>
            <w:tcBorders>
              <w:top w:val="nil"/>
              <w:left w:val="nil"/>
              <w:bottom w:val="nil"/>
              <w:right w:val="nil"/>
            </w:tcBorders>
            <w:noWrap/>
            <w:vAlign w:val="bottom"/>
            <w:hideMark/>
          </w:tcPr>
          <w:p w14:paraId="3165D1E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5.4</w:t>
            </w:r>
          </w:p>
        </w:tc>
        <w:tc>
          <w:tcPr>
            <w:tcW w:w="847" w:type="dxa"/>
            <w:tcBorders>
              <w:top w:val="nil"/>
              <w:left w:val="nil"/>
              <w:bottom w:val="nil"/>
              <w:right w:val="nil"/>
            </w:tcBorders>
            <w:noWrap/>
            <w:vAlign w:val="bottom"/>
            <w:hideMark/>
          </w:tcPr>
          <w:p w14:paraId="2A320B4B"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2.2</w:t>
            </w:r>
          </w:p>
        </w:tc>
        <w:tc>
          <w:tcPr>
            <w:tcW w:w="835" w:type="dxa"/>
            <w:tcBorders>
              <w:top w:val="nil"/>
              <w:left w:val="nil"/>
              <w:bottom w:val="nil"/>
              <w:right w:val="nil"/>
            </w:tcBorders>
            <w:noWrap/>
            <w:vAlign w:val="bottom"/>
            <w:hideMark/>
          </w:tcPr>
          <w:p w14:paraId="5CE8129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5.3</w:t>
            </w:r>
          </w:p>
        </w:tc>
        <w:tc>
          <w:tcPr>
            <w:tcW w:w="866" w:type="dxa"/>
            <w:tcBorders>
              <w:top w:val="nil"/>
              <w:left w:val="nil"/>
              <w:bottom w:val="nil"/>
              <w:right w:val="nil"/>
            </w:tcBorders>
            <w:noWrap/>
            <w:vAlign w:val="bottom"/>
            <w:hideMark/>
          </w:tcPr>
          <w:p w14:paraId="4E1D01B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2.3</w:t>
            </w:r>
          </w:p>
        </w:tc>
        <w:tc>
          <w:tcPr>
            <w:tcW w:w="837" w:type="dxa"/>
            <w:tcBorders>
              <w:top w:val="nil"/>
              <w:left w:val="nil"/>
              <w:bottom w:val="nil"/>
              <w:right w:val="nil"/>
            </w:tcBorders>
            <w:noWrap/>
            <w:vAlign w:val="bottom"/>
            <w:hideMark/>
          </w:tcPr>
          <w:p w14:paraId="49D8B14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5.9</w:t>
            </w:r>
          </w:p>
        </w:tc>
        <w:tc>
          <w:tcPr>
            <w:tcW w:w="960" w:type="dxa"/>
            <w:tcBorders>
              <w:top w:val="nil"/>
              <w:left w:val="nil"/>
              <w:bottom w:val="nil"/>
              <w:right w:val="nil"/>
            </w:tcBorders>
            <w:noWrap/>
            <w:vAlign w:val="bottom"/>
            <w:hideMark/>
          </w:tcPr>
          <w:p w14:paraId="1916208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0.75</w:t>
            </w:r>
          </w:p>
        </w:tc>
      </w:tr>
      <w:tr w:rsidR="00202929" w:rsidRPr="00202929" w14:paraId="611BF77B" w14:textId="77777777" w:rsidTr="00D859EA">
        <w:trPr>
          <w:trHeight w:val="290"/>
        </w:trPr>
        <w:tc>
          <w:tcPr>
            <w:tcW w:w="2268" w:type="dxa"/>
            <w:tcBorders>
              <w:top w:val="nil"/>
              <w:left w:val="nil"/>
              <w:bottom w:val="nil"/>
              <w:right w:val="nil"/>
            </w:tcBorders>
            <w:noWrap/>
            <w:vAlign w:val="bottom"/>
            <w:hideMark/>
          </w:tcPr>
          <w:p w14:paraId="1E9E46C5"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Feeding practices (score)</w:t>
            </w:r>
          </w:p>
        </w:tc>
        <w:tc>
          <w:tcPr>
            <w:tcW w:w="708" w:type="dxa"/>
            <w:tcBorders>
              <w:top w:val="nil"/>
              <w:left w:val="nil"/>
              <w:bottom w:val="nil"/>
              <w:right w:val="nil"/>
            </w:tcBorders>
            <w:noWrap/>
            <w:vAlign w:val="bottom"/>
            <w:hideMark/>
          </w:tcPr>
          <w:p w14:paraId="390DC923"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noWrap/>
            <w:vAlign w:val="bottom"/>
            <w:hideMark/>
          </w:tcPr>
          <w:p w14:paraId="60EA1353"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noWrap/>
            <w:vAlign w:val="bottom"/>
            <w:hideMark/>
          </w:tcPr>
          <w:p w14:paraId="0EF443F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noWrap/>
            <w:vAlign w:val="bottom"/>
            <w:hideMark/>
          </w:tcPr>
          <w:p w14:paraId="4BDF913A"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noWrap/>
            <w:vAlign w:val="bottom"/>
            <w:hideMark/>
          </w:tcPr>
          <w:p w14:paraId="5AD330A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noWrap/>
            <w:vAlign w:val="bottom"/>
            <w:hideMark/>
          </w:tcPr>
          <w:p w14:paraId="72FDE3D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noWrap/>
            <w:vAlign w:val="bottom"/>
            <w:hideMark/>
          </w:tcPr>
          <w:p w14:paraId="111B586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6098E61A" w14:textId="77777777" w:rsidTr="00D859EA">
        <w:trPr>
          <w:trHeight w:val="290"/>
        </w:trPr>
        <w:tc>
          <w:tcPr>
            <w:tcW w:w="2268" w:type="dxa"/>
            <w:tcBorders>
              <w:top w:val="nil"/>
              <w:left w:val="nil"/>
              <w:bottom w:val="nil"/>
              <w:right w:val="nil"/>
            </w:tcBorders>
            <w:noWrap/>
            <w:vAlign w:val="bottom"/>
            <w:hideMark/>
          </w:tcPr>
          <w:p w14:paraId="08F21822"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Parent pressure</w:t>
            </w:r>
          </w:p>
        </w:tc>
        <w:tc>
          <w:tcPr>
            <w:tcW w:w="708" w:type="dxa"/>
            <w:tcBorders>
              <w:top w:val="nil"/>
              <w:left w:val="nil"/>
              <w:bottom w:val="nil"/>
              <w:right w:val="nil"/>
            </w:tcBorders>
            <w:noWrap/>
            <w:vAlign w:val="bottom"/>
            <w:hideMark/>
          </w:tcPr>
          <w:p w14:paraId="4A9479C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3.4</w:t>
            </w:r>
          </w:p>
        </w:tc>
        <w:tc>
          <w:tcPr>
            <w:tcW w:w="713" w:type="dxa"/>
            <w:tcBorders>
              <w:top w:val="nil"/>
              <w:left w:val="nil"/>
              <w:bottom w:val="nil"/>
              <w:right w:val="nil"/>
            </w:tcBorders>
            <w:noWrap/>
            <w:vAlign w:val="bottom"/>
            <w:hideMark/>
          </w:tcPr>
          <w:p w14:paraId="3D10FF0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w:t>
            </w:r>
          </w:p>
        </w:tc>
        <w:tc>
          <w:tcPr>
            <w:tcW w:w="847" w:type="dxa"/>
            <w:tcBorders>
              <w:top w:val="nil"/>
              <w:left w:val="nil"/>
              <w:bottom w:val="nil"/>
              <w:right w:val="nil"/>
            </w:tcBorders>
            <w:noWrap/>
            <w:vAlign w:val="bottom"/>
            <w:hideMark/>
          </w:tcPr>
          <w:p w14:paraId="501424F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3.3</w:t>
            </w:r>
          </w:p>
        </w:tc>
        <w:tc>
          <w:tcPr>
            <w:tcW w:w="835" w:type="dxa"/>
            <w:tcBorders>
              <w:top w:val="nil"/>
              <w:left w:val="nil"/>
              <w:bottom w:val="nil"/>
              <w:right w:val="nil"/>
            </w:tcBorders>
            <w:noWrap/>
            <w:vAlign w:val="bottom"/>
            <w:hideMark/>
          </w:tcPr>
          <w:p w14:paraId="2FDB739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w:t>
            </w:r>
          </w:p>
        </w:tc>
        <w:tc>
          <w:tcPr>
            <w:tcW w:w="866" w:type="dxa"/>
            <w:tcBorders>
              <w:top w:val="nil"/>
              <w:left w:val="nil"/>
              <w:bottom w:val="nil"/>
              <w:right w:val="nil"/>
            </w:tcBorders>
            <w:noWrap/>
            <w:vAlign w:val="bottom"/>
            <w:hideMark/>
          </w:tcPr>
          <w:p w14:paraId="10ED7F5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3.4</w:t>
            </w:r>
          </w:p>
        </w:tc>
        <w:tc>
          <w:tcPr>
            <w:tcW w:w="837" w:type="dxa"/>
            <w:tcBorders>
              <w:top w:val="nil"/>
              <w:left w:val="nil"/>
              <w:bottom w:val="nil"/>
              <w:right w:val="nil"/>
            </w:tcBorders>
            <w:noWrap/>
            <w:vAlign w:val="bottom"/>
            <w:hideMark/>
          </w:tcPr>
          <w:p w14:paraId="023AAAD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w:t>
            </w:r>
          </w:p>
        </w:tc>
        <w:tc>
          <w:tcPr>
            <w:tcW w:w="960" w:type="dxa"/>
            <w:tcBorders>
              <w:top w:val="nil"/>
              <w:left w:val="nil"/>
              <w:bottom w:val="nil"/>
              <w:right w:val="nil"/>
            </w:tcBorders>
            <w:noWrap/>
            <w:vAlign w:val="bottom"/>
            <w:hideMark/>
          </w:tcPr>
          <w:p w14:paraId="1FB7934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0.35</w:t>
            </w:r>
          </w:p>
        </w:tc>
      </w:tr>
      <w:tr w:rsidR="00202929" w:rsidRPr="00202929" w14:paraId="052D9851" w14:textId="77777777" w:rsidTr="00D859EA">
        <w:trPr>
          <w:trHeight w:val="290"/>
        </w:trPr>
        <w:tc>
          <w:tcPr>
            <w:tcW w:w="2268" w:type="dxa"/>
            <w:tcBorders>
              <w:top w:val="nil"/>
              <w:left w:val="nil"/>
              <w:bottom w:val="nil"/>
              <w:right w:val="nil"/>
            </w:tcBorders>
            <w:noWrap/>
            <w:vAlign w:val="bottom"/>
            <w:hideMark/>
          </w:tcPr>
          <w:p w14:paraId="64C05AD8"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Restriction</w:t>
            </w:r>
          </w:p>
        </w:tc>
        <w:tc>
          <w:tcPr>
            <w:tcW w:w="708" w:type="dxa"/>
            <w:tcBorders>
              <w:top w:val="nil"/>
              <w:left w:val="nil"/>
              <w:bottom w:val="nil"/>
              <w:right w:val="nil"/>
            </w:tcBorders>
            <w:noWrap/>
            <w:vAlign w:val="bottom"/>
            <w:hideMark/>
          </w:tcPr>
          <w:p w14:paraId="426A03C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2.8</w:t>
            </w:r>
          </w:p>
        </w:tc>
        <w:tc>
          <w:tcPr>
            <w:tcW w:w="713" w:type="dxa"/>
            <w:tcBorders>
              <w:top w:val="nil"/>
              <w:left w:val="nil"/>
              <w:bottom w:val="nil"/>
              <w:right w:val="nil"/>
            </w:tcBorders>
            <w:noWrap/>
            <w:vAlign w:val="bottom"/>
            <w:hideMark/>
          </w:tcPr>
          <w:p w14:paraId="781FFE6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47" w:type="dxa"/>
            <w:tcBorders>
              <w:top w:val="nil"/>
              <w:left w:val="nil"/>
              <w:bottom w:val="nil"/>
              <w:right w:val="nil"/>
            </w:tcBorders>
            <w:noWrap/>
            <w:vAlign w:val="bottom"/>
            <w:hideMark/>
          </w:tcPr>
          <w:p w14:paraId="7E6F7AB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2.8</w:t>
            </w:r>
          </w:p>
        </w:tc>
        <w:tc>
          <w:tcPr>
            <w:tcW w:w="835" w:type="dxa"/>
            <w:tcBorders>
              <w:top w:val="nil"/>
              <w:left w:val="nil"/>
              <w:bottom w:val="nil"/>
              <w:right w:val="nil"/>
            </w:tcBorders>
            <w:noWrap/>
            <w:vAlign w:val="bottom"/>
            <w:hideMark/>
          </w:tcPr>
          <w:p w14:paraId="15C40C2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66" w:type="dxa"/>
            <w:tcBorders>
              <w:top w:val="nil"/>
              <w:left w:val="nil"/>
              <w:bottom w:val="nil"/>
              <w:right w:val="nil"/>
            </w:tcBorders>
            <w:noWrap/>
            <w:vAlign w:val="bottom"/>
            <w:hideMark/>
          </w:tcPr>
          <w:p w14:paraId="1D134B9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2.7</w:t>
            </w:r>
          </w:p>
        </w:tc>
        <w:tc>
          <w:tcPr>
            <w:tcW w:w="837" w:type="dxa"/>
            <w:tcBorders>
              <w:top w:val="nil"/>
              <w:left w:val="nil"/>
              <w:bottom w:val="nil"/>
              <w:right w:val="nil"/>
            </w:tcBorders>
            <w:noWrap/>
            <w:vAlign w:val="bottom"/>
            <w:hideMark/>
          </w:tcPr>
          <w:p w14:paraId="08480A1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0.8</w:t>
            </w:r>
          </w:p>
        </w:tc>
        <w:tc>
          <w:tcPr>
            <w:tcW w:w="960" w:type="dxa"/>
            <w:tcBorders>
              <w:top w:val="nil"/>
              <w:left w:val="nil"/>
              <w:bottom w:val="nil"/>
              <w:right w:val="nil"/>
            </w:tcBorders>
            <w:noWrap/>
            <w:vAlign w:val="bottom"/>
            <w:hideMark/>
          </w:tcPr>
          <w:p w14:paraId="4EB8089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0.15</w:t>
            </w:r>
          </w:p>
        </w:tc>
      </w:tr>
      <w:tr w:rsidR="00202929" w:rsidRPr="00202929" w14:paraId="52C425C8" w14:textId="77777777" w:rsidTr="00D859EA">
        <w:trPr>
          <w:trHeight w:val="290"/>
        </w:trPr>
        <w:tc>
          <w:tcPr>
            <w:tcW w:w="2268" w:type="dxa"/>
            <w:tcBorders>
              <w:top w:val="nil"/>
              <w:left w:val="nil"/>
              <w:bottom w:val="nil"/>
              <w:right w:val="nil"/>
            </w:tcBorders>
            <w:noWrap/>
            <w:vAlign w:val="bottom"/>
            <w:hideMark/>
          </w:tcPr>
          <w:p w14:paraId="413915A5"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Child control</w:t>
            </w:r>
          </w:p>
        </w:tc>
        <w:tc>
          <w:tcPr>
            <w:tcW w:w="708" w:type="dxa"/>
            <w:tcBorders>
              <w:top w:val="nil"/>
              <w:left w:val="nil"/>
              <w:bottom w:val="nil"/>
              <w:right w:val="nil"/>
            </w:tcBorders>
            <w:noWrap/>
            <w:vAlign w:val="bottom"/>
            <w:hideMark/>
          </w:tcPr>
          <w:p w14:paraId="460039F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3.1</w:t>
            </w:r>
          </w:p>
        </w:tc>
        <w:tc>
          <w:tcPr>
            <w:tcW w:w="713" w:type="dxa"/>
            <w:tcBorders>
              <w:top w:val="nil"/>
              <w:left w:val="nil"/>
              <w:bottom w:val="nil"/>
              <w:right w:val="nil"/>
            </w:tcBorders>
            <w:noWrap/>
            <w:vAlign w:val="bottom"/>
            <w:hideMark/>
          </w:tcPr>
          <w:p w14:paraId="11BC056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47" w:type="dxa"/>
            <w:tcBorders>
              <w:top w:val="nil"/>
              <w:left w:val="nil"/>
              <w:bottom w:val="nil"/>
              <w:right w:val="nil"/>
            </w:tcBorders>
            <w:noWrap/>
            <w:vAlign w:val="bottom"/>
            <w:hideMark/>
          </w:tcPr>
          <w:p w14:paraId="7528305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3.1</w:t>
            </w:r>
          </w:p>
        </w:tc>
        <w:tc>
          <w:tcPr>
            <w:tcW w:w="835" w:type="dxa"/>
            <w:tcBorders>
              <w:top w:val="nil"/>
              <w:left w:val="nil"/>
              <w:bottom w:val="nil"/>
              <w:right w:val="nil"/>
            </w:tcBorders>
            <w:noWrap/>
            <w:vAlign w:val="bottom"/>
            <w:hideMark/>
          </w:tcPr>
          <w:p w14:paraId="21D4218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w:t>
            </w:r>
          </w:p>
        </w:tc>
        <w:tc>
          <w:tcPr>
            <w:tcW w:w="866" w:type="dxa"/>
            <w:tcBorders>
              <w:top w:val="nil"/>
              <w:left w:val="nil"/>
              <w:bottom w:val="nil"/>
              <w:right w:val="nil"/>
            </w:tcBorders>
            <w:noWrap/>
            <w:vAlign w:val="bottom"/>
            <w:hideMark/>
          </w:tcPr>
          <w:p w14:paraId="6215EA8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3.2</w:t>
            </w:r>
          </w:p>
        </w:tc>
        <w:tc>
          <w:tcPr>
            <w:tcW w:w="837" w:type="dxa"/>
            <w:tcBorders>
              <w:top w:val="nil"/>
              <w:left w:val="nil"/>
              <w:bottom w:val="nil"/>
              <w:right w:val="nil"/>
            </w:tcBorders>
            <w:noWrap/>
            <w:vAlign w:val="bottom"/>
            <w:hideMark/>
          </w:tcPr>
          <w:p w14:paraId="7DD29A9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0.9</w:t>
            </w:r>
          </w:p>
        </w:tc>
        <w:tc>
          <w:tcPr>
            <w:tcW w:w="960" w:type="dxa"/>
            <w:tcBorders>
              <w:top w:val="nil"/>
              <w:left w:val="nil"/>
              <w:bottom w:val="nil"/>
              <w:right w:val="nil"/>
            </w:tcBorders>
            <w:noWrap/>
            <w:vAlign w:val="bottom"/>
            <w:hideMark/>
          </w:tcPr>
          <w:p w14:paraId="1380E45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0.75</w:t>
            </w:r>
          </w:p>
        </w:tc>
      </w:tr>
      <w:tr w:rsidR="00202929" w:rsidRPr="00202929" w14:paraId="7164DB24" w14:textId="77777777" w:rsidTr="00D859EA">
        <w:trPr>
          <w:trHeight w:val="290"/>
        </w:trPr>
        <w:tc>
          <w:tcPr>
            <w:tcW w:w="2268" w:type="dxa"/>
            <w:tcBorders>
              <w:top w:val="nil"/>
              <w:left w:val="nil"/>
              <w:bottom w:val="nil"/>
              <w:right w:val="nil"/>
            </w:tcBorders>
            <w:noWrap/>
            <w:vAlign w:val="bottom"/>
            <w:hideMark/>
          </w:tcPr>
          <w:p w14:paraId="49EA5D7F"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Healthy eating guidance</w:t>
            </w:r>
          </w:p>
        </w:tc>
        <w:tc>
          <w:tcPr>
            <w:tcW w:w="708" w:type="dxa"/>
            <w:tcBorders>
              <w:top w:val="nil"/>
              <w:left w:val="nil"/>
              <w:bottom w:val="nil"/>
              <w:right w:val="nil"/>
            </w:tcBorders>
            <w:noWrap/>
            <w:vAlign w:val="bottom"/>
            <w:hideMark/>
          </w:tcPr>
          <w:p w14:paraId="3F11A3EF"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w:t>
            </w:r>
          </w:p>
        </w:tc>
        <w:tc>
          <w:tcPr>
            <w:tcW w:w="713" w:type="dxa"/>
            <w:tcBorders>
              <w:top w:val="nil"/>
              <w:left w:val="nil"/>
              <w:bottom w:val="nil"/>
              <w:right w:val="nil"/>
            </w:tcBorders>
            <w:noWrap/>
            <w:vAlign w:val="bottom"/>
            <w:hideMark/>
          </w:tcPr>
          <w:p w14:paraId="22CAD6A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0.5</w:t>
            </w:r>
          </w:p>
        </w:tc>
        <w:tc>
          <w:tcPr>
            <w:tcW w:w="847" w:type="dxa"/>
            <w:tcBorders>
              <w:top w:val="nil"/>
              <w:left w:val="nil"/>
              <w:bottom w:val="nil"/>
              <w:right w:val="nil"/>
            </w:tcBorders>
            <w:noWrap/>
            <w:vAlign w:val="bottom"/>
            <w:hideMark/>
          </w:tcPr>
          <w:p w14:paraId="5A997B7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1.7</w:t>
            </w:r>
          </w:p>
        </w:tc>
        <w:tc>
          <w:tcPr>
            <w:tcW w:w="835" w:type="dxa"/>
            <w:tcBorders>
              <w:top w:val="nil"/>
              <w:left w:val="nil"/>
              <w:bottom w:val="nil"/>
              <w:right w:val="nil"/>
            </w:tcBorders>
            <w:noWrap/>
            <w:vAlign w:val="bottom"/>
            <w:hideMark/>
          </w:tcPr>
          <w:p w14:paraId="4D216F6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0.5</w:t>
            </w:r>
          </w:p>
        </w:tc>
        <w:tc>
          <w:tcPr>
            <w:tcW w:w="866" w:type="dxa"/>
            <w:tcBorders>
              <w:top w:val="nil"/>
              <w:left w:val="nil"/>
              <w:bottom w:val="nil"/>
              <w:right w:val="nil"/>
            </w:tcBorders>
            <w:noWrap/>
            <w:vAlign w:val="bottom"/>
            <w:hideMark/>
          </w:tcPr>
          <w:p w14:paraId="16BC661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1.8</w:t>
            </w:r>
          </w:p>
        </w:tc>
        <w:tc>
          <w:tcPr>
            <w:tcW w:w="837" w:type="dxa"/>
            <w:tcBorders>
              <w:top w:val="nil"/>
              <w:left w:val="nil"/>
              <w:bottom w:val="nil"/>
              <w:right w:val="nil"/>
            </w:tcBorders>
            <w:noWrap/>
            <w:vAlign w:val="bottom"/>
            <w:hideMark/>
          </w:tcPr>
          <w:p w14:paraId="54A6453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0.5</w:t>
            </w:r>
          </w:p>
        </w:tc>
        <w:tc>
          <w:tcPr>
            <w:tcW w:w="960" w:type="dxa"/>
            <w:tcBorders>
              <w:top w:val="nil"/>
              <w:left w:val="nil"/>
              <w:bottom w:val="nil"/>
              <w:right w:val="nil"/>
            </w:tcBorders>
            <w:noWrap/>
            <w:vAlign w:val="bottom"/>
            <w:hideMark/>
          </w:tcPr>
          <w:p w14:paraId="09BB4C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0.15</w:t>
            </w:r>
          </w:p>
        </w:tc>
      </w:tr>
      <w:tr w:rsidR="00202929" w:rsidRPr="00202929" w14:paraId="1054D3C6" w14:textId="77777777" w:rsidTr="00D859EA">
        <w:trPr>
          <w:trHeight w:val="290"/>
        </w:trPr>
        <w:tc>
          <w:tcPr>
            <w:tcW w:w="2268" w:type="dxa"/>
            <w:tcBorders>
              <w:top w:val="nil"/>
              <w:left w:val="nil"/>
              <w:bottom w:val="nil"/>
              <w:right w:val="nil"/>
            </w:tcBorders>
            <w:noWrap/>
            <w:vAlign w:val="bottom"/>
            <w:hideMark/>
          </w:tcPr>
          <w:p w14:paraId="4537DAA8"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Monitoring</w:t>
            </w:r>
          </w:p>
        </w:tc>
        <w:tc>
          <w:tcPr>
            <w:tcW w:w="708" w:type="dxa"/>
            <w:tcBorders>
              <w:top w:val="nil"/>
              <w:left w:val="nil"/>
              <w:bottom w:val="nil"/>
              <w:right w:val="nil"/>
            </w:tcBorders>
            <w:noWrap/>
            <w:vAlign w:val="bottom"/>
            <w:hideMark/>
          </w:tcPr>
          <w:p w14:paraId="0ACC2C2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2.5</w:t>
            </w:r>
          </w:p>
        </w:tc>
        <w:tc>
          <w:tcPr>
            <w:tcW w:w="713" w:type="dxa"/>
            <w:tcBorders>
              <w:top w:val="nil"/>
              <w:left w:val="nil"/>
              <w:bottom w:val="nil"/>
              <w:right w:val="nil"/>
            </w:tcBorders>
            <w:noWrap/>
            <w:vAlign w:val="bottom"/>
            <w:hideMark/>
          </w:tcPr>
          <w:p w14:paraId="55C5EAAB"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1.0</w:t>
            </w:r>
          </w:p>
        </w:tc>
        <w:tc>
          <w:tcPr>
            <w:tcW w:w="847" w:type="dxa"/>
            <w:tcBorders>
              <w:top w:val="nil"/>
              <w:left w:val="nil"/>
              <w:bottom w:val="nil"/>
              <w:right w:val="nil"/>
            </w:tcBorders>
            <w:noWrap/>
            <w:vAlign w:val="bottom"/>
            <w:hideMark/>
          </w:tcPr>
          <w:p w14:paraId="24C8858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2.5</w:t>
            </w:r>
          </w:p>
        </w:tc>
        <w:tc>
          <w:tcPr>
            <w:tcW w:w="835" w:type="dxa"/>
            <w:tcBorders>
              <w:top w:val="nil"/>
              <w:left w:val="nil"/>
              <w:bottom w:val="nil"/>
              <w:right w:val="nil"/>
            </w:tcBorders>
            <w:noWrap/>
            <w:vAlign w:val="bottom"/>
            <w:hideMark/>
          </w:tcPr>
          <w:p w14:paraId="3BB84D7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1.0</w:t>
            </w:r>
          </w:p>
        </w:tc>
        <w:tc>
          <w:tcPr>
            <w:tcW w:w="866" w:type="dxa"/>
            <w:tcBorders>
              <w:top w:val="nil"/>
              <w:left w:val="nil"/>
              <w:bottom w:val="nil"/>
              <w:right w:val="nil"/>
            </w:tcBorders>
            <w:noWrap/>
            <w:vAlign w:val="bottom"/>
            <w:hideMark/>
          </w:tcPr>
          <w:p w14:paraId="2881710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2.4</w:t>
            </w:r>
          </w:p>
        </w:tc>
        <w:tc>
          <w:tcPr>
            <w:tcW w:w="837" w:type="dxa"/>
            <w:tcBorders>
              <w:top w:val="nil"/>
              <w:left w:val="nil"/>
              <w:bottom w:val="nil"/>
              <w:right w:val="nil"/>
            </w:tcBorders>
            <w:noWrap/>
            <w:vAlign w:val="bottom"/>
            <w:hideMark/>
          </w:tcPr>
          <w:p w14:paraId="08D9F15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0.9</w:t>
            </w:r>
          </w:p>
        </w:tc>
        <w:tc>
          <w:tcPr>
            <w:tcW w:w="960" w:type="dxa"/>
            <w:tcBorders>
              <w:top w:val="nil"/>
              <w:left w:val="nil"/>
              <w:bottom w:val="nil"/>
              <w:right w:val="nil"/>
            </w:tcBorders>
            <w:noWrap/>
            <w:vAlign w:val="bottom"/>
            <w:hideMark/>
          </w:tcPr>
          <w:p w14:paraId="2C0D2BC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0.72</w:t>
            </w:r>
          </w:p>
        </w:tc>
      </w:tr>
      <w:tr w:rsidR="00202929" w:rsidRPr="00202929" w14:paraId="4F9AD319" w14:textId="77777777" w:rsidTr="00D859EA">
        <w:trPr>
          <w:trHeight w:val="290"/>
        </w:trPr>
        <w:tc>
          <w:tcPr>
            <w:tcW w:w="2268" w:type="dxa"/>
            <w:tcBorders>
              <w:top w:val="nil"/>
              <w:left w:val="nil"/>
              <w:bottom w:val="nil"/>
              <w:right w:val="nil"/>
            </w:tcBorders>
            <w:noWrap/>
            <w:vAlign w:val="bottom"/>
            <w:hideMark/>
          </w:tcPr>
          <w:p w14:paraId="214D170B"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Caregiver type (%)</w:t>
            </w:r>
          </w:p>
        </w:tc>
        <w:tc>
          <w:tcPr>
            <w:tcW w:w="708" w:type="dxa"/>
            <w:tcBorders>
              <w:top w:val="nil"/>
              <w:left w:val="nil"/>
              <w:bottom w:val="nil"/>
              <w:right w:val="nil"/>
            </w:tcBorders>
            <w:noWrap/>
            <w:vAlign w:val="bottom"/>
            <w:hideMark/>
          </w:tcPr>
          <w:p w14:paraId="2579B8BF"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noWrap/>
            <w:vAlign w:val="bottom"/>
            <w:hideMark/>
          </w:tcPr>
          <w:p w14:paraId="49B13042"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noWrap/>
            <w:vAlign w:val="bottom"/>
            <w:hideMark/>
          </w:tcPr>
          <w:p w14:paraId="2D9528A6"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noWrap/>
            <w:vAlign w:val="bottom"/>
            <w:hideMark/>
          </w:tcPr>
          <w:p w14:paraId="4E452585"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noWrap/>
            <w:vAlign w:val="bottom"/>
            <w:hideMark/>
          </w:tcPr>
          <w:p w14:paraId="4DBD488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noWrap/>
            <w:vAlign w:val="bottom"/>
            <w:hideMark/>
          </w:tcPr>
          <w:p w14:paraId="7193CAB0"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noWrap/>
            <w:vAlign w:val="bottom"/>
            <w:hideMark/>
          </w:tcPr>
          <w:p w14:paraId="4DD3C0DE"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201FBD7D" w14:textId="77777777" w:rsidTr="00D859EA">
        <w:trPr>
          <w:trHeight w:val="290"/>
        </w:trPr>
        <w:tc>
          <w:tcPr>
            <w:tcW w:w="2268" w:type="dxa"/>
            <w:tcBorders>
              <w:top w:val="nil"/>
              <w:left w:val="nil"/>
              <w:bottom w:val="nil"/>
              <w:right w:val="nil"/>
            </w:tcBorders>
            <w:noWrap/>
            <w:vAlign w:val="bottom"/>
            <w:hideMark/>
          </w:tcPr>
          <w:p w14:paraId="01A146BE"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Parent</w:t>
            </w:r>
          </w:p>
        </w:tc>
        <w:tc>
          <w:tcPr>
            <w:tcW w:w="708" w:type="dxa"/>
            <w:tcBorders>
              <w:top w:val="nil"/>
              <w:left w:val="nil"/>
              <w:bottom w:val="nil"/>
              <w:right w:val="nil"/>
            </w:tcBorders>
            <w:noWrap/>
            <w:vAlign w:val="bottom"/>
            <w:hideMark/>
          </w:tcPr>
          <w:p w14:paraId="2323A6A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75.4</w:t>
            </w:r>
          </w:p>
        </w:tc>
        <w:tc>
          <w:tcPr>
            <w:tcW w:w="713" w:type="dxa"/>
            <w:tcBorders>
              <w:top w:val="nil"/>
              <w:left w:val="nil"/>
              <w:bottom w:val="nil"/>
              <w:right w:val="nil"/>
            </w:tcBorders>
            <w:noWrap/>
            <w:vAlign w:val="bottom"/>
            <w:hideMark/>
          </w:tcPr>
          <w:p w14:paraId="29BC9D3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noWrap/>
            <w:vAlign w:val="bottom"/>
            <w:hideMark/>
          </w:tcPr>
          <w:p w14:paraId="43E8692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76.2</w:t>
            </w:r>
          </w:p>
        </w:tc>
        <w:tc>
          <w:tcPr>
            <w:tcW w:w="835" w:type="dxa"/>
            <w:tcBorders>
              <w:top w:val="nil"/>
              <w:left w:val="nil"/>
              <w:bottom w:val="nil"/>
              <w:right w:val="nil"/>
            </w:tcBorders>
            <w:noWrap/>
            <w:vAlign w:val="bottom"/>
            <w:hideMark/>
          </w:tcPr>
          <w:p w14:paraId="46173D1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noWrap/>
            <w:vAlign w:val="bottom"/>
            <w:hideMark/>
          </w:tcPr>
          <w:p w14:paraId="048FB92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70.8</w:t>
            </w:r>
          </w:p>
        </w:tc>
        <w:tc>
          <w:tcPr>
            <w:tcW w:w="837" w:type="dxa"/>
            <w:tcBorders>
              <w:top w:val="nil"/>
              <w:left w:val="nil"/>
              <w:bottom w:val="nil"/>
              <w:right w:val="nil"/>
            </w:tcBorders>
            <w:noWrap/>
            <w:vAlign w:val="bottom"/>
            <w:hideMark/>
          </w:tcPr>
          <w:p w14:paraId="18BEFB8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noWrap/>
            <w:vAlign w:val="bottom"/>
            <w:hideMark/>
          </w:tcPr>
          <w:p w14:paraId="71C4A5F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0.63</w:t>
            </w:r>
          </w:p>
        </w:tc>
      </w:tr>
      <w:tr w:rsidR="00202929" w:rsidRPr="00202929" w14:paraId="2ED7372E" w14:textId="77777777" w:rsidTr="00D859EA">
        <w:trPr>
          <w:trHeight w:val="290"/>
        </w:trPr>
        <w:tc>
          <w:tcPr>
            <w:tcW w:w="2268" w:type="dxa"/>
            <w:tcBorders>
              <w:top w:val="nil"/>
              <w:left w:val="nil"/>
              <w:bottom w:val="nil"/>
              <w:right w:val="nil"/>
            </w:tcBorders>
            <w:noWrap/>
            <w:vAlign w:val="bottom"/>
            <w:hideMark/>
          </w:tcPr>
          <w:p w14:paraId="7CB52645"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Other family member</w:t>
            </w:r>
          </w:p>
        </w:tc>
        <w:tc>
          <w:tcPr>
            <w:tcW w:w="708" w:type="dxa"/>
            <w:tcBorders>
              <w:top w:val="nil"/>
              <w:left w:val="nil"/>
              <w:bottom w:val="nil"/>
              <w:right w:val="nil"/>
            </w:tcBorders>
            <w:noWrap/>
            <w:vAlign w:val="bottom"/>
            <w:hideMark/>
          </w:tcPr>
          <w:p w14:paraId="4C8A184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12.0</w:t>
            </w:r>
          </w:p>
        </w:tc>
        <w:tc>
          <w:tcPr>
            <w:tcW w:w="713" w:type="dxa"/>
            <w:tcBorders>
              <w:top w:val="nil"/>
              <w:left w:val="nil"/>
              <w:bottom w:val="nil"/>
              <w:right w:val="nil"/>
            </w:tcBorders>
            <w:noWrap/>
            <w:vAlign w:val="bottom"/>
            <w:hideMark/>
          </w:tcPr>
          <w:p w14:paraId="68D3504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noWrap/>
            <w:vAlign w:val="bottom"/>
            <w:hideMark/>
          </w:tcPr>
          <w:p w14:paraId="0DBAF1B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11.9</w:t>
            </w:r>
          </w:p>
        </w:tc>
        <w:tc>
          <w:tcPr>
            <w:tcW w:w="835" w:type="dxa"/>
            <w:tcBorders>
              <w:top w:val="nil"/>
              <w:left w:val="nil"/>
              <w:bottom w:val="nil"/>
              <w:right w:val="nil"/>
            </w:tcBorders>
            <w:noWrap/>
            <w:vAlign w:val="bottom"/>
            <w:hideMark/>
          </w:tcPr>
          <w:p w14:paraId="57D77EA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noWrap/>
            <w:vAlign w:val="bottom"/>
            <w:hideMark/>
          </w:tcPr>
          <w:p w14:paraId="0122949A"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12.5</w:t>
            </w:r>
          </w:p>
        </w:tc>
        <w:tc>
          <w:tcPr>
            <w:tcW w:w="837" w:type="dxa"/>
            <w:tcBorders>
              <w:top w:val="nil"/>
              <w:left w:val="nil"/>
              <w:bottom w:val="nil"/>
              <w:right w:val="nil"/>
            </w:tcBorders>
            <w:noWrap/>
            <w:vAlign w:val="bottom"/>
            <w:hideMark/>
          </w:tcPr>
          <w:p w14:paraId="26AB99CF"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noWrap/>
            <w:vAlign w:val="bottom"/>
            <w:hideMark/>
          </w:tcPr>
          <w:p w14:paraId="2038671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7BC8C188" w14:textId="77777777" w:rsidTr="00D859EA">
        <w:trPr>
          <w:trHeight w:val="290"/>
        </w:trPr>
        <w:tc>
          <w:tcPr>
            <w:tcW w:w="2268" w:type="dxa"/>
            <w:tcBorders>
              <w:top w:val="nil"/>
              <w:left w:val="nil"/>
              <w:bottom w:val="nil"/>
              <w:right w:val="nil"/>
            </w:tcBorders>
            <w:noWrap/>
            <w:vAlign w:val="bottom"/>
            <w:hideMark/>
          </w:tcPr>
          <w:p w14:paraId="116CB7CB"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Non family care</w:t>
            </w:r>
          </w:p>
        </w:tc>
        <w:tc>
          <w:tcPr>
            <w:tcW w:w="708" w:type="dxa"/>
            <w:tcBorders>
              <w:top w:val="nil"/>
              <w:left w:val="nil"/>
              <w:bottom w:val="nil"/>
              <w:right w:val="nil"/>
            </w:tcBorders>
            <w:noWrap/>
            <w:vAlign w:val="bottom"/>
            <w:hideMark/>
          </w:tcPr>
          <w:p w14:paraId="12D39AF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12.6</w:t>
            </w:r>
          </w:p>
        </w:tc>
        <w:tc>
          <w:tcPr>
            <w:tcW w:w="713" w:type="dxa"/>
            <w:tcBorders>
              <w:top w:val="nil"/>
              <w:left w:val="nil"/>
              <w:bottom w:val="nil"/>
              <w:right w:val="nil"/>
            </w:tcBorders>
            <w:noWrap/>
            <w:vAlign w:val="bottom"/>
            <w:hideMark/>
          </w:tcPr>
          <w:p w14:paraId="5AEB9D2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noWrap/>
            <w:vAlign w:val="bottom"/>
            <w:hideMark/>
          </w:tcPr>
          <w:p w14:paraId="1BF8A69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11.9</w:t>
            </w:r>
          </w:p>
        </w:tc>
        <w:tc>
          <w:tcPr>
            <w:tcW w:w="835" w:type="dxa"/>
            <w:tcBorders>
              <w:top w:val="nil"/>
              <w:left w:val="nil"/>
              <w:bottom w:val="nil"/>
              <w:right w:val="nil"/>
            </w:tcBorders>
            <w:noWrap/>
            <w:vAlign w:val="bottom"/>
            <w:hideMark/>
          </w:tcPr>
          <w:p w14:paraId="2D1BC0A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noWrap/>
            <w:vAlign w:val="bottom"/>
            <w:hideMark/>
          </w:tcPr>
          <w:p w14:paraId="1CBB942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16.7</w:t>
            </w:r>
          </w:p>
        </w:tc>
        <w:tc>
          <w:tcPr>
            <w:tcW w:w="837" w:type="dxa"/>
            <w:tcBorders>
              <w:top w:val="nil"/>
              <w:left w:val="nil"/>
              <w:bottom w:val="nil"/>
              <w:right w:val="nil"/>
            </w:tcBorders>
            <w:noWrap/>
            <w:vAlign w:val="bottom"/>
            <w:hideMark/>
          </w:tcPr>
          <w:p w14:paraId="6330485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noWrap/>
            <w:vAlign w:val="bottom"/>
            <w:hideMark/>
          </w:tcPr>
          <w:p w14:paraId="4E53B161"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4B58C259" w14:textId="77777777" w:rsidTr="00D859EA">
        <w:trPr>
          <w:trHeight w:val="290"/>
        </w:trPr>
        <w:tc>
          <w:tcPr>
            <w:tcW w:w="2268" w:type="dxa"/>
            <w:tcBorders>
              <w:top w:val="nil"/>
              <w:left w:val="nil"/>
              <w:bottom w:val="nil"/>
              <w:right w:val="nil"/>
            </w:tcBorders>
            <w:noWrap/>
            <w:vAlign w:val="bottom"/>
            <w:hideMark/>
          </w:tcPr>
          <w:p w14:paraId="5FB582CE"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 xml:space="preserve">Medical </w:t>
            </w:r>
            <w:proofErr w:type="spellStart"/>
            <w:r w:rsidRPr="00202929">
              <w:rPr>
                <w:rFonts w:asciiTheme="majorHAnsi" w:eastAsia="Times New Roman" w:hAnsiTheme="majorHAnsi" w:cs="Calibri"/>
                <w:b/>
                <w:bCs/>
                <w:color w:val="000000"/>
                <w:sz w:val="14"/>
                <w:szCs w:val="14"/>
                <w:lang w:val="en-ID" w:eastAsia="en-ID"/>
              </w:rPr>
              <w:t>ilness</w:t>
            </w:r>
            <w:proofErr w:type="spellEnd"/>
          </w:p>
        </w:tc>
        <w:tc>
          <w:tcPr>
            <w:tcW w:w="708" w:type="dxa"/>
            <w:tcBorders>
              <w:top w:val="nil"/>
              <w:left w:val="nil"/>
              <w:bottom w:val="nil"/>
              <w:right w:val="nil"/>
            </w:tcBorders>
            <w:noWrap/>
            <w:vAlign w:val="bottom"/>
            <w:hideMark/>
          </w:tcPr>
          <w:p w14:paraId="5167F12D" w14:textId="77777777" w:rsidR="00202929" w:rsidRPr="00202929" w:rsidRDefault="00202929" w:rsidP="00202929">
            <w:pPr>
              <w:widowControl/>
              <w:autoSpaceDE/>
              <w:autoSpaceDN/>
              <w:spacing w:line="276" w:lineRule="auto"/>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noWrap/>
            <w:vAlign w:val="bottom"/>
            <w:hideMark/>
          </w:tcPr>
          <w:p w14:paraId="1B9C2B1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noWrap/>
            <w:vAlign w:val="bottom"/>
            <w:hideMark/>
          </w:tcPr>
          <w:p w14:paraId="512E89E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noWrap/>
            <w:vAlign w:val="bottom"/>
            <w:hideMark/>
          </w:tcPr>
          <w:p w14:paraId="016CDCEE"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noWrap/>
            <w:vAlign w:val="bottom"/>
            <w:hideMark/>
          </w:tcPr>
          <w:p w14:paraId="4864358E"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noWrap/>
            <w:vAlign w:val="bottom"/>
            <w:hideMark/>
          </w:tcPr>
          <w:p w14:paraId="47677109"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noWrap/>
            <w:vAlign w:val="bottom"/>
            <w:hideMark/>
          </w:tcPr>
          <w:p w14:paraId="66685383"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0FD336EA" w14:textId="77777777" w:rsidTr="00D859EA">
        <w:trPr>
          <w:trHeight w:val="290"/>
        </w:trPr>
        <w:tc>
          <w:tcPr>
            <w:tcW w:w="2268" w:type="dxa"/>
            <w:tcBorders>
              <w:top w:val="nil"/>
              <w:left w:val="nil"/>
              <w:bottom w:val="nil"/>
              <w:right w:val="nil"/>
            </w:tcBorders>
            <w:noWrap/>
            <w:vAlign w:val="bottom"/>
            <w:hideMark/>
          </w:tcPr>
          <w:p w14:paraId="2724B08B"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Constipation (%)</w:t>
            </w:r>
          </w:p>
        </w:tc>
        <w:tc>
          <w:tcPr>
            <w:tcW w:w="708" w:type="dxa"/>
            <w:tcBorders>
              <w:top w:val="nil"/>
              <w:left w:val="nil"/>
              <w:bottom w:val="nil"/>
              <w:right w:val="nil"/>
            </w:tcBorders>
            <w:noWrap/>
            <w:vAlign w:val="bottom"/>
            <w:hideMark/>
          </w:tcPr>
          <w:p w14:paraId="459580AA"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noWrap/>
            <w:vAlign w:val="bottom"/>
            <w:hideMark/>
          </w:tcPr>
          <w:p w14:paraId="1375CE21"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noWrap/>
            <w:vAlign w:val="bottom"/>
            <w:hideMark/>
          </w:tcPr>
          <w:p w14:paraId="29718FB2"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noWrap/>
            <w:vAlign w:val="bottom"/>
            <w:hideMark/>
          </w:tcPr>
          <w:p w14:paraId="04A272F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noWrap/>
            <w:vAlign w:val="bottom"/>
            <w:hideMark/>
          </w:tcPr>
          <w:p w14:paraId="672206C9"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noWrap/>
            <w:vAlign w:val="bottom"/>
            <w:hideMark/>
          </w:tcPr>
          <w:p w14:paraId="1F6B33AC"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noWrap/>
            <w:vAlign w:val="bottom"/>
            <w:hideMark/>
          </w:tcPr>
          <w:p w14:paraId="6EAA217A"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00641668" w14:textId="77777777" w:rsidTr="00D859EA">
        <w:trPr>
          <w:trHeight w:val="290"/>
        </w:trPr>
        <w:tc>
          <w:tcPr>
            <w:tcW w:w="2268" w:type="dxa"/>
            <w:tcBorders>
              <w:top w:val="nil"/>
              <w:left w:val="nil"/>
              <w:bottom w:val="nil"/>
              <w:right w:val="nil"/>
            </w:tcBorders>
            <w:noWrap/>
            <w:vAlign w:val="bottom"/>
            <w:hideMark/>
          </w:tcPr>
          <w:p w14:paraId="34EE7092"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No</w:t>
            </w:r>
          </w:p>
        </w:tc>
        <w:tc>
          <w:tcPr>
            <w:tcW w:w="708" w:type="dxa"/>
            <w:tcBorders>
              <w:top w:val="nil"/>
              <w:left w:val="nil"/>
              <w:bottom w:val="nil"/>
              <w:right w:val="nil"/>
            </w:tcBorders>
            <w:noWrap/>
            <w:vAlign w:val="bottom"/>
            <w:hideMark/>
          </w:tcPr>
          <w:p w14:paraId="3A61686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38.5</w:t>
            </w:r>
          </w:p>
        </w:tc>
        <w:tc>
          <w:tcPr>
            <w:tcW w:w="713" w:type="dxa"/>
            <w:tcBorders>
              <w:top w:val="nil"/>
              <w:left w:val="nil"/>
              <w:bottom w:val="nil"/>
              <w:right w:val="nil"/>
            </w:tcBorders>
            <w:noWrap/>
            <w:vAlign w:val="bottom"/>
            <w:hideMark/>
          </w:tcPr>
          <w:p w14:paraId="45EF2FA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noWrap/>
            <w:vAlign w:val="bottom"/>
            <w:hideMark/>
          </w:tcPr>
          <w:p w14:paraId="0404EE2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39</w:t>
            </w:r>
          </w:p>
        </w:tc>
        <w:tc>
          <w:tcPr>
            <w:tcW w:w="835" w:type="dxa"/>
            <w:tcBorders>
              <w:top w:val="nil"/>
              <w:left w:val="nil"/>
              <w:bottom w:val="nil"/>
              <w:right w:val="nil"/>
            </w:tcBorders>
            <w:noWrap/>
            <w:vAlign w:val="bottom"/>
            <w:hideMark/>
          </w:tcPr>
          <w:p w14:paraId="4C30C34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noWrap/>
            <w:vAlign w:val="bottom"/>
            <w:hideMark/>
          </w:tcPr>
          <w:p w14:paraId="05C15437"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35.4</w:t>
            </w:r>
          </w:p>
        </w:tc>
        <w:tc>
          <w:tcPr>
            <w:tcW w:w="837" w:type="dxa"/>
            <w:tcBorders>
              <w:top w:val="nil"/>
              <w:left w:val="nil"/>
              <w:bottom w:val="nil"/>
              <w:right w:val="nil"/>
            </w:tcBorders>
            <w:noWrap/>
            <w:vAlign w:val="bottom"/>
            <w:hideMark/>
          </w:tcPr>
          <w:p w14:paraId="64C8836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noWrap/>
            <w:vAlign w:val="bottom"/>
            <w:hideMark/>
          </w:tcPr>
          <w:p w14:paraId="7B65831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0.64</w:t>
            </w:r>
          </w:p>
        </w:tc>
      </w:tr>
      <w:tr w:rsidR="00202929" w:rsidRPr="00202929" w14:paraId="1416C4BB" w14:textId="77777777" w:rsidTr="00D859EA">
        <w:trPr>
          <w:trHeight w:val="290"/>
        </w:trPr>
        <w:tc>
          <w:tcPr>
            <w:tcW w:w="2268" w:type="dxa"/>
            <w:tcBorders>
              <w:top w:val="nil"/>
              <w:left w:val="nil"/>
              <w:bottom w:val="nil"/>
              <w:right w:val="nil"/>
            </w:tcBorders>
            <w:noWrap/>
            <w:vAlign w:val="bottom"/>
            <w:hideMark/>
          </w:tcPr>
          <w:p w14:paraId="1ABC34AD"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Yes</w:t>
            </w:r>
          </w:p>
        </w:tc>
        <w:tc>
          <w:tcPr>
            <w:tcW w:w="708" w:type="dxa"/>
            <w:tcBorders>
              <w:top w:val="nil"/>
              <w:left w:val="nil"/>
              <w:bottom w:val="nil"/>
              <w:right w:val="nil"/>
            </w:tcBorders>
            <w:noWrap/>
            <w:vAlign w:val="bottom"/>
            <w:hideMark/>
          </w:tcPr>
          <w:p w14:paraId="413DA0B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61.5</w:t>
            </w:r>
          </w:p>
        </w:tc>
        <w:tc>
          <w:tcPr>
            <w:tcW w:w="713" w:type="dxa"/>
            <w:tcBorders>
              <w:top w:val="nil"/>
              <w:left w:val="nil"/>
              <w:bottom w:val="nil"/>
              <w:right w:val="nil"/>
            </w:tcBorders>
            <w:noWrap/>
            <w:vAlign w:val="bottom"/>
            <w:hideMark/>
          </w:tcPr>
          <w:p w14:paraId="744BB33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noWrap/>
            <w:vAlign w:val="bottom"/>
            <w:hideMark/>
          </w:tcPr>
          <w:p w14:paraId="172664C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61</w:t>
            </w:r>
          </w:p>
        </w:tc>
        <w:tc>
          <w:tcPr>
            <w:tcW w:w="835" w:type="dxa"/>
            <w:tcBorders>
              <w:top w:val="nil"/>
              <w:left w:val="nil"/>
              <w:bottom w:val="nil"/>
              <w:right w:val="nil"/>
            </w:tcBorders>
            <w:noWrap/>
            <w:vAlign w:val="bottom"/>
            <w:hideMark/>
          </w:tcPr>
          <w:p w14:paraId="36F4D11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noWrap/>
            <w:vAlign w:val="bottom"/>
            <w:hideMark/>
          </w:tcPr>
          <w:p w14:paraId="6905BB3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64.6</w:t>
            </w:r>
          </w:p>
        </w:tc>
        <w:tc>
          <w:tcPr>
            <w:tcW w:w="837" w:type="dxa"/>
            <w:tcBorders>
              <w:top w:val="nil"/>
              <w:left w:val="nil"/>
              <w:bottom w:val="nil"/>
              <w:right w:val="nil"/>
            </w:tcBorders>
            <w:noWrap/>
            <w:vAlign w:val="bottom"/>
            <w:hideMark/>
          </w:tcPr>
          <w:p w14:paraId="1BECFE3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noWrap/>
            <w:vAlign w:val="bottom"/>
            <w:hideMark/>
          </w:tcPr>
          <w:p w14:paraId="6DE20CE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20F068FE" w14:textId="77777777" w:rsidTr="00D859EA">
        <w:trPr>
          <w:trHeight w:val="290"/>
        </w:trPr>
        <w:tc>
          <w:tcPr>
            <w:tcW w:w="2268" w:type="dxa"/>
            <w:tcBorders>
              <w:top w:val="nil"/>
              <w:left w:val="nil"/>
              <w:bottom w:val="nil"/>
              <w:right w:val="nil"/>
            </w:tcBorders>
            <w:noWrap/>
            <w:vAlign w:val="bottom"/>
            <w:hideMark/>
          </w:tcPr>
          <w:p w14:paraId="4885EB50"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r w:rsidRPr="00202929">
              <w:rPr>
                <w:rFonts w:asciiTheme="majorHAnsi" w:eastAsia="Times New Roman" w:hAnsiTheme="majorHAnsi" w:cs="Calibri"/>
                <w:b/>
                <w:bCs/>
                <w:color w:val="000000"/>
                <w:sz w:val="14"/>
                <w:szCs w:val="14"/>
                <w:lang w:val="en-ID" w:eastAsia="en-ID"/>
              </w:rPr>
              <w:t xml:space="preserve">Acute infection </w:t>
            </w:r>
            <w:proofErr w:type="spellStart"/>
            <w:r w:rsidRPr="00202929">
              <w:rPr>
                <w:rFonts w:asciiTheme="majorHAnsi" w:eastAsia="Times New Roman" w:hAnsiTheme="majorHAnsi" w:cs="Calibri"/>
                <w:b/>
                <w:bCs/>
                <w:color w:val="000000"/>
                <w:sz w:val="14"/>
                <w:szCs w:val="14"/>
                <w:lang w:val="en-ID" w:eastAsia="en-ID"/>
              </w:rPr>
              <w:t>ilness</w:t>
            </w:r>
            <w:proofErr w:type="spellEnd"/>
            <w:r w:rsidRPr="00202929">
              <w:rPr>
                <w:rFonts w:asciiTheme="majorHAnsi" w:eastAsia="Times New Roman" w:hAnsiTheme="majorHAnsi" w:cs="Calibri"/>
                <w:b/>
                <w:bCs/>
                <w:color w:val="000000"/>
                <w:sz w:val="14"/>
                <w:szCs w:val="14"/>
                <w:lang w:val="en-ID" w:eastAsia="en-ID"/>
              </w:rPr>
              <w:t xml:space="preserve"> (%)</w:t>
            </w:r>
          </w:p>
        </w:tc>
        <w:tc>
          <w:tcPr>
            <w:tcW w:w="708" w:type="dxa"/>
            <w:tcBorders>
              <w:top w:val="nil"/>
              <w:left w:val="nil"/>
              <w:bottom w:val="nil"/>
              <w:right w:val="nil"/>
            </w:tcBorders>
            <w:noWrap/>
            <w:vAlign w:val="bottom"/>
            <w:hideMark/>
          </w:tcPr>
          <w:p w14:paraId="54A12A70" w14:textId="77777777" w:rsidR="00202929" w:rsidRPr="00202929" w:rsidRDefault="00202929" w:rsidP="00202929">
            <w:pPr>
              <w:widowControl/>
              <w:autoSpaceDE/>
              <w:autoSpaceDN/>
              <w:spacing w:line="276" w:lineRule="auto"/>
              <w:ind w:firstLineChars="200" w:firstLine="281"/>
              <w:rPr>
                <w:rFonts w:asciiTheme="majorHAnsi" w:eastAsia="Times New Roman" w:hAnsiTheme="majorHAnsi" w:cs="Calibri"/>
                <w:b/>
                <w:bCs/>
                <w:color w:val="000000"/>
                <w:sz w:val="14"/>
                <w:szCs w:val="14"/>
                <w:lang w:val="en-ID" w:eastAsia="en-ID"/>
              </w:rPr>
            </w:pPr>
          </w:p>
        </w:tc>
        <w:tc>
          <w:tcPr>
            <w:tcW w:w="713" w:type="dxa"/>
            <w:tcBorders>
              <w:top w:val="nil"/>
              <w:left w:val="nil"/>
              <w:bottom w:val="nil"/>
              <w:right w:val="nil"/>
            </w:tcBorders>
            <w:noWrap/>
            <w:vAlign w:val="bottom"/>
            <w:hideMark/>
          </w:tcPr>
          <w:p w14:paraId="45E5E460"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47" w:type="dxa"/>
            <w:tcBorders>
              <w:top w:val="nil"/>
              <w:left w:val="nil"/>
              <w:bottom w:val="nil"/>
              <w:right w:val="nil"/>
            </w:tcBorders>
            <w:noWrap/>
            <w:vAlign w:val="bottom"/>
            <w:hideMark/>
          </w:tcPr>
          <w:p w14:paraId="1F7720FA"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5" w:type="dxa"/>
            <w:tcBorders>
              <w:top w:val="nil"/>
              <w:left w:val="nil"/>
              <w:bottom w:val="nil"/>
              <w:right w:val="nil"/>
            </w:tcBorders>
            <w:noWrap/>
            <w:vAlign w:val="bottom"/>
            <w:hideMark/>
          </w:tcPr>
          <w:p w14:paraId="3838D217"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66" w:type="dxa"/>
            <w:tcBorders>
              <w:top w:val="nil"/>
              <w:left w:val="nil"/>
              <w:bottom w:val="nil"/>
              <w:right w:val="nil"/>
            </w:tcBorders>
            <w:noWrap/>
            <w:vAlign w:val="bottom"/>
            <w:hideMark/>
          </w:tcPr>
          <w:p w14:paraId="76E089D4"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837" w:type="dxa"/>
            <w:tcBorders>
              <w:top w:val="nil"/>
              <w:left w:val="nil"/>
              <w:bottom w:val="nil"/>
              <w:right w:val="nil"/>
            </w:tcBorders>
            <w:noWrap/>
            <w:vAlign w:val="bottom"/>
            <w:hideMark/>
          </w:tcPr>
          <w:p w14:paraId="1F14832D"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c>
          <w:tcPr>
            <w:tcW w:w="960" w:type="dxa"/>
            <w:tcBorders>
              <w:top w:val="nil"/>
              <w:left w:val="nil"/>
              <w:bottom w:val="nil"/>
              <w:right w:val="nil"/>
            </w:tcBorders>
            <w:noWrap/>
            <w:vAlign w:val="bottom"/>
            <w:hideMark/>
          </w:tcPr>
          <w:p w14:paraId="70F9243F"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7C457546" w14:textId="77777777" w:rsidTr="00D859EA">
        <w:trPr>
          <w:trHeight w:val="290"/>
        </w:trPr>
        <w:tc>
          <w:tcPr>
            <w:tcW w:w="2268" w:type="dxa"/>
            <w:tcBorders>
              <w:top w:val="nil"/>
              <w:left w:val="nil"/>
              <w:bottom w:val="nil"/>
              <w:right w:val="nil"/>
            </w:tcBorders>
            <w:noWrap/>
            <w:vAlign w:val="bottom"/>
            <w:hideMark/>
          </w:tcPr>
          <w:p w14:paraId="41F8A586"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&gt; 2 episodes</w:t>
            </w:r>
          </w:p>
        </w:tc>
        <w:tc>
          <w:tcPr>
            <w:tcW w:w="708" w:type="dxa"/>
            <w:tcBorders>
              <w:top w:val="nil"/>
              <w:left w:val="nil"/>
              <w:bottom w:val="nil"/>
              <w:right w:val="nil"/>
            </w:tcBorders>
            <w:noWrap/>
            <w:vAlign w:val="bottom"/>
            <w:hideMark/>
          </w:tcPr>
          <w:p w14:paraId="7AF2E9EE"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6.5</w:t>
            </w:r>
          </w:p>
        </w:tc>
        <w:tc>
          <w:tcPr>
            <w:tcW w:w="713" w:type="dxa"/>
            <w:tcBorders>
              <w:top w:val="nil"/>
              <w:left w:val="nil"/>
              <w:bottom w:val="nil"/>
              <w:right w:val="nil"/>
            </w:tcBorders>
            <w:noWrap/>
            <w:vAlign w:val="bottom"/>
            <w:hideMark/>
          </w:tcPr>
          <w:p w14:paraId="5405510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noWrap/>
            <w:vAlign w:val="bottom"/>
            <w:hideMark/>
          </w:tcPr>
          <w:p w14:paraId="6B01BC2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7.2</w:t>
            </w:r>
          </w:p>
        </w:tc>
        <w:tc>
          <w:tcPr>
            <w:tcW w:w="835" w:type="dxa"/>
            <w:tcBorders>
              <w:top w:val="nil"/>
              <w:left w:val="nil"/>
              <w:bottom w:val="nil"/>
              <w:right w:val="nil"/>
            </w:tcBorders>
            <w:noWrap/>
            <w:vAlign w:val="bottom"/>
            <w:hideMark/>
          </w:tcPr>
          <w:p w14:paraId="3C9CED4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noWrap/>
            <w:vAlign w:val="bottom"/>
            <w:hideMark/>
          </w:tcPr>
          <w:p w14:paraId="6B46A77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2.1</w:t>
            </w:r>
          </w:p>
        </w:tc>
        <w:tc>
          <w:tcPr>
            <w:tcW w:w="837" w:type="dxa"/>
            <w:tcBorders>
              <w:top w:val="nil"/>
              <w:left w:val="nil"/>
              <w:bottom w:val="nil"/>
              <w:right w:val="nil"/>
            </w:tcBorders>
            <w:noWrap/>
            <w:vAlign w:val="bottom"/>
            <w:hideMark/>
          </w:tcPr>
          <w:p w14:paraId="1093335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noWrap/>
            <w:vAlign w:val="bottom"/>
            <w:hideMark/>
          </w:tcPr>
          <w:p w14:paraId="7A25193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0.46</w:t>
            </w:r>
          </w:p>
        </w:tc>
      </w:tr>
      <w:tr w:rsidR="00202929" w:rsidRPr="00202929" w14:paraId="2A12BF75" w14:textId="77777777" w:rsidTr="00D859EA">
        <w:trPr>
          <w:trHeight w:val="290"/>
        </w:trPr>
        <w:tc>
          <w:tcPr>
            <w:tcW w:w="2268" w:type="dxa"/>
            <w:tcBorders>
              <w:top w:val="nil"/>
              <w:left w:val="nil"/>
              <w:bottom w:val="nil"/>
              <w:right w:val="nil"/>
            </w:tcBorders>
            <w:noWrap/>
            <w:vAlign w:val="bottom"/>
            <w:hideMark/>
          </w:tcPr>
          <w:p w14:paraId="0FB0E90E"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1-2 episodes</w:t>
            </w:r>
          </w:p>
        </w:tc>
        <w:tc>
          <w:tcPr>
            <w:tcW w:w="708" w:type="dxa"/>
            <w:tcBorders>
              <w:top w:val="nil"/>
              <w:left w:val="nil"/>
              <w:bottom w:val="nil"/>
              <w:right w:val="nil"/>
            </w:tcBorders>
            <w:noWrap/>
            <w:vAlign w:val="bottom"/>
            <w:hideMark/>
          </w:tcPr>
          <w:p w14:paraId="10E983D9"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36.3</w:t>
            </w:r>
          </w:p>
        </w:tc>
        <w:tc>
          <w:tcPr>
            <w:tcW w:w="713" w:type="dxa"/>
            <w:tcBorders>
              <w:top w:val="nil"/>
              <w:left w:val="nil"/>
              <w:bottom w:val="nil"/>
              <w:right w:val="nil"/>
            </w:tcBorders>
            <w:noWrap/>
            <w:vAlign w:val="bottom"/>
            <w:hideMark/>
          </w:tcPr>
          <w:p w14:paraId="6973D36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47" w:type="dxa"/>
            <w:tcBorders>
              <w:top w:val="nil"/>
              <w:left w:val="nil"/>
              <w:bottom w:val="nil"/>
              <w:right w:val="nil"/>
            </w:tcBorders>
            <w:noWrap/>
            <w:vAlign w:val="bottom"/>
            <w:hideMark/>
          </w:tcPr>
          <w:p w14:paraId="1B82F443"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35.7</w:t>
            </w:r>
          </w:p>
        </w:tc>
        <w:tc>
          <w:tcPr>
            <w:tcW w:w="835" w:type="dxa"/>
            <w:tcBorders>
              <w:top w:val="nil"/>
              <w:left w:val="nil"/>
              <w:bottom w:val="nil"/>
              <w:right w:val="nil"/>
            </w:tcBorders>
            <w:noWrap/>
            <w:vAlign w:val="bottom"/>
            <w:hideMark/>
          </w:tcPr>
          <w:p w14:paraId="09E164E4"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866" w:type="dxa"/>
            <w:tcBorders>
              <w:top w:val="nil"/>
              <w:left w:val="nil"/>
              <w:bottom w:val="nil"/>
              <w:right w:val="nil"/>
            </w:tcBorders>
            <w:noWrap/>
            <w:vAlign w:val="bottom"/>
            <w:hideMark/>
          </w:tcPr>
          <w:p w14:paraId="26E83B4C"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39.6</w:t>
            </w:r>
          </w:p>
        </w:tc>
        <w:tc>
          <w:tcPr>
            <w:tcW w:w="837" w:type="dxa"/>
            <w:tcBorders>
              <w:top w:val="nil"/>
              <w:left w:val="nil"/>
              <w:bottom w:val="nil"/>
              <w:right w:val="nil"/>
            </w:tcBorders>
            <w:noWrap/>
            <w:vAlign w:val="bottom"/>
            <w:hideMark/>
          </w:tcPr>
          <w:p w14:paraId="36379C7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p>
        </w:tc>
        <w:tc>
          <w:tcPr>
            <w:tcW w:w="960" w:type="dxa"/>
            <w:tcBorders>
              <w:top w:val="nil"/>
              <w:left w:val="nil"/>
              <w:bottom w:val="nil"/>
              <w:right w:val="nil"/>
            </w:tcBorders>
            <w:noWrap/>
            <w:vAlign w:val="bottom"/>
            <w:hideMark/>
          </w:tcPr>
          <w:p w14:paraId="0E7B4500" w14:textId="77777777" w:rsidR="00202929" w:rsidRPr="00202929" w:rsidRDefault="00202929" w:rsidP="00202929">
            <w:pPr>
              <w:widowControl/>
              <w:autoSpaceDE/>
              <w:autoSpaceDN/>
              <w:spacing w:line="276" w:lineRule="auto"/>
              <w:jc w:val="center"/>
              <w:rPr>
                <w:rFonts w:asciiTheme="majorHAnsi" w:eastAsia="Times New Roman" w:hAnsiTheme="majorHAnsi" w:cs="Times New Roman"/>
                <w:sz w:val="14"/>
                <w:szCs w:val="14"/>
                <w:lang w:val="en-ID" w:eastAsia="en-ID"/>
              </w:rPr>
            </w:pPr>
          </w:p>
        </w:tc>
      </w:tr>
      <w:tr w:rsidR="00202929" w:rsidRPr="00202929" w14:paraId="72283064" w14:textId="77777777" w:rsidTr="00D859EA">
        <w:trPr>
          <w:trHeight w:val="290"/>
        </w:trPr>
        <w:tc>
          <w:tcPr>
            <w:tcW w:w="2268" w:type="dxa"/>
            <w:tcBorders>
              <w:top w:val="nil"/>
              <w:left w:val="nil"/>
              <w:bottom w:val="single" w:sz="4" w:space="0" w:color="auto"/>
              <w:right w:val="nil"/>
            </w:tcBorders>
            <w:noWrap/>
            <w:vAlign w:val="bottom"/>
            <w:hideMark/>
          </w:tcPr>
          <w:p w14:paraId="2C47B6A9" w14:textId="77777777" w:rsidR="00202929" w:rsidRPr="00202929" w:rsidRDefault="00202929" w:rsidP="00202929">
            <w:pPr>
              <w:widowControl/>
              <w:autoSpaceDE/>
              <w:autoSpaceDN/>
              <w:spacing w:line="276" w:lineRule="auto"/>
              <w:ind w:firstLineChars="200" w:firstLine="280"/>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no episode</w:t>
            </w:r>
          </w:p>
        </w:tc>
        <w:tc>
          <w:tcPr>
            <w:tcW w:w="708" w:type="dxa"/>
            <w:tcBorders>
              <w:top w:val="nil"/>
              <w:left w:val="nil"/>
              <w:bottom w:val="single" w:sz="4" w:space="0" w:color="auto"/>
              <w:right w:val="nil"/>
            </w:tcBorders>
            <w:noWrap/>
            <w:vAlign w:val="bottom"/>
            <w:hideMark/>
          </w:tcPr>
          <w:p w14:paraId="56372BFD"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57.2</w:t>
            </w:r>
          </w:p>
        </w:tc>
        <w:tc>
          <w:tcPr>
            <w:tcW w:w="713" w:type="dxa"/>
            <w:tcBorders>
              <w:top w:val="nil"/>
              <w:left w:val="nil"/>
              <w:bottom w:val="single" w:sz="4" w:space="0" w:color="auto"/>
              <w:right w:val="nil"/>
            </w:tcBorders>
            <w:noWrap/>
            <w:vAlign w:val="bottom"/>
            <w:hideMark/>
          </w:tcPr>
          <w:p w14:paraId="1D9F6466"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847" w:type="dxa"/>
            <w:tcBorders>
              <w:top w:val="nil"/>
              <w:left w:val="nil"/>
              <w:bottom w:val="single" w:sz="4" w:space="0" w:color="auto"/>
              <w:right w:val="nil"/>
            </w:tcBorders>
            <w:noWrap/>
            <w:vAlign w:val="bottom"/>
            <w:hideMark/>
          </w:tcPr>
          <w:p w14:paraId="06DB6E95"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57.0</w:t>
            </w:r>
          </w:p>
        </w:tc>
        <w:tc>
          <w:tcPr>
            <w:tcW w:w="835" w:type="dxa"/>
            <w:tcBorders>
              <w:top w:val="nil"/>
              <w:left w:val="nil"/>
              <w:bottom w:val="single" w:sz="4" w:space="0" w:color="auto"/>
              <w:right w:val="nil"/>
            </w:tcBorders>
            <w:noWrap/>
            <w:vAlign w:val="bottom"/>
            <w:hideMark/>
          </w:tcPr>
          <w:p w14:paraId="2B2DEF38"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866" w:type="dxa"/>
            <w:tcBorders>
              <w:top w:val="nil"/>
              <w:left w:val="nil"/>
              <w:bottom w:val="single" w:sz="4" w:space="0" w:color="auto"/>
              <w:right w:val="nil"/>
            </w:tcBorders>
            <w:noWrap/>
            <w:vAlign w:val="bottom"/>
            <w:hideMark/>
          </w:tcPr>
          <w:p w14:paraId="1C3F0DD0"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58.3</w:t>
            </w:r>
          </w:p>
        </w:tc>
        <w:tc>
          <w:tcPr>
            <w:tcW w:w="837" w:type="dxa"/>
            <w:tcBorders>
              <w:top w:val="nil"/>
              <w:left w:val="nil"/>
              <w:bottom w:val="single" w:sz="4" w:space="0" w:color="auto"/>
              <w:right w:val="nil"/>
            </w:tcBorders>
            <w:noWrap/>
            <w:vAlign w:val="bottom"/>
            <w:hideMark/>
          </w:tcPr>
          <w:p w14:paraId="3A01AF91"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c>
          <w:tcPr>
            <w:tcW w:w="960" w:type="dxa"/>
            <w:tcBorders>
              <w:top w:val="nil"/>
              <w:left w:val="nil"/>
              <w:bottom w:val="single" w:sz="4" w:space="0" w:color="auto"/>
              <w:right w:val="nil"/>
            </w:tcBorders>
            <w:noWrap/>
            <w:vAlign w:val="bottom"/>
            <w:hideMark/>
          </w:tcPr>
          <w:p w14:paraId="6DB920B2" w14:textId="77777777" w:rsidR="00202929" w:rsidRPr="00202929" w:rsidRDefault="00202929" w:rsidP="00202929">
            <w:pPr>
              <w:widowControl/>
              <w:autoSpaceDE/>
              <w:autoSpaceDN/>
              <w:spacing w:line="276" w:lineRule="auto"/>
              <w:jc w:val="center"/>
              <w:rPr>
                <w:rFonts w:asciiTheme="majorHAnsi" w:eastAsia="Times New Roman" w:hAnsiTheme="majorHAnsi" w:cs="Calibri"/>
                <w:color w:val="000000"/>
                <w:sz w:val="14"/>
                <w:szCs w:val="14"/>
                <w:lang w:val="en-ID" w:eastAsia="en-ID"/>
              </w:rPr>
            </w:pPr>
            <w:r w:rsidRPr="00202929">
              <w:rPr>
                <w:rFonts w:asciiTheme="majorHAnsi" w:eastAsia="Times New Roman" w:hAnsiTheme="majorHAnsi" w:cs="Calibri"/>
                <w:color w:val="000000"/>
                <w:sz w:val="14"/>
                <w:szCs w:val="14"/>
                <w:lang w:val="en-ID" w:eastAsia="en-ID"/>
              </w:rPr>
              <w:t> </w:t>
            </w:r>
          </w:p>
        </w:tc>
      </w:tr>
    </w:tbl>
    <w:p w14:paraId="7D51DEE8" w14:textId="7A81805E" w:rsidR="00BD66C2" w:rsidRDefault="00BD66C2" w:rsidP="00BD66C2">
      <w:pPr>
        <w:pStyle w:val="NoSpacing1"/>
        <w:adjustRightInd w:val="0"/>
        <w:snapToGrid w:val="0"/>
        <w:ind w:left="142"/>
        <w:rPr>
          <w:rFonts w:asciiTheme="majorHAnsi" w:hAnsiTheme="majorHAnsi"/>
          <w:sz w:val="14"/>
          <w:szCs w:val="14"/>
        </w:rPr>
      </w:pPr>
      <w:r w:rsidRPr="00BD66C2">
        <w:rPr>
          <w:rFonts w:asciiTheme="majorHAnsi" w:hAnsiTheme="majorHAnsi"/>
          <w:sz w:val="14"/>
          <w:szCs w:val="14"/>
        </w:rPr>
        <w:t>Values are presented as mean ± SD for continuous variables and % for categorical variables.</w:t>
      </w:r>
      <w:r w:rsidRPr="00BD66C2">
        <w:rPr>
          <w:rFonts w:asciiTheme="majorHAnsi" w:hAnsiTheme="majorHAnsi"/>
          <w:sz w:val="14"/>
          <w:szCs w:val="14"/>
        </w:rPr>
        <w:br/>
      </w:r>
      <w:r w:rsidRPr="00BD66C2">
        <w:rPr>
          <w:rFonts w:asciiTheme="majorHAnsi" w:hAnsiTheme="majorHAnsi"/>
          <w:i/>
          <w:iCs/>
          <w:sz w:val="14"/>
          <w:szCs w:val="14"/>
        </w:rPr>
        <w:t>p-</w:t>
      </w:r>
      <w:r w:rsidRPr="00BD66C2">
        <w:rPr>
          <w:rFonts w:asciiTheme="majorHAnsi" w:hAnsiTheme="majorHAnsi"/>
          <w:sz w:val="14"/>
          <w:szCs w:val="14"/>
        </w:rPr>
        <w:t>values &lt; 0.05 are considered statistically significant.</w:t>
      </w:r>
      <w:r w:rsidRPr="00BD66C2">
        <w:rPr>
          <w:rFonts w:asciiTheme="majorHAnsi" w:hAnsiTheme="majorHAnsi"/>
          <w:sz w:val="14"/>
          <w:szCs w:val="14"/>
        </w:rPr>
        <w:br/>
      </w:r>
      <w:r>
        <w:rPr>
          <w:rFonts w:asciiTheme="majorHAnsi" w:hAnsiTheme="majorHAnsi"/>
          <w:sz w:val="14"/>
          <w:szCs w:val="14"/>
        </w:rPr>
        <w:t xml:space="preserve">a) </w:t>
      </w:r>
      <w:r w:rsidRPr="00BD66C2">
        <w:rPr>
          <w:rFonts w:asciiTheme="majorHAnsi" w:hAnsiTheme="majorHAnsi"/>
          <w:i/>
          <w:iCs/>
          <w:sz w:val="14"/>
          <w:szCs w:val="14"/>
        </w:rPr>
        <w:t>p</w:t>
      </w:r>
      <w:r w:rsidRPr="00BD66C2">
        <w:rPr>
          <w:rFonts w:asciiTheme="majorHAnsi" w:hAnsiTheme="majorHAnsi"/>
          <w:sz w:val="14"/>
          <w:szCs w:val="14"/>
        </w:rPr>
        <w:t xml:space="preserve">-values were obtained using </w:t>
      </w:r>
      <w:r>
        <w:rPr>
          <w:rFonts w:asciiTheme="majorHAnsi" w:hAnsiTheme="majorHAnsi"/>
          <w:sz w:val="14"/>
          <w:szCs w:val="14"/>
        </w:rPr>
        <w:t>Mann-</w:t>
      </w:r>
      <w:proofErr w:type="spellStart"/>
      <w:r>
        <w:rPr>
          <w:rFonts w:asciiTheme="majorHAnsi" w:hAnsiTheme="majorHAnsi"/>
          <w:sz w:val="14"/>
          <w:szCs w:val="14"/>
        </w:rPr>
        <w:t>whitney</w:t>
      </w:r>
      <w:proofErr w:type="spellEnd"/>
      <w:r w:rsidRPr="00BD66C2">
        <w:rPr>
          <w:rFonts w:asciiTheme="majorHAnsi" w:hAnsiTheme="majorHAnsi"/>
          <w:sz w:val="14"/>
          <w:szCs w:val="14"/>
        </w:rPr>
        <w:t xml:space="preserve"> test (for non-normally distributed continuous variables)</w:t>
      </w:r>
      <w:r>
        <w:rPr>
          <w:rFonts w:asciiTheme="majorHAnsi" w:hAnsiTheme="majorHAnsi"/>
          <w:sz w:val="14"/>
          <w:szCs w:val="14"/>
        </w:rPr>
        <w:t>.</w:t>
      </w:r>
    </w:p>
    <w:p w14:paraId="48E174F9" w14:textId="0A9E8E09" w:rsidR="00BD66C2" w:rsidRPr="00BD66C2" w:rsidRDefault="00BD66C2" w:rsidP="00BD66C2">
      <w:pPr>
        <w:pStyle w:val="NoSpacing1"/>
        <w:adjustRightInd w:val="0"/>
        <w:snapToGrid w:val="0"/>
        <w:ind w:left="142"/>
        <w:rPr>
          <w:rFonts w:asciiTheme="majorHAnsi" w:eastAsia="PMingLiU" w:hAnsiTheme="majorHAnsi"/>
          <w:b/>
          <w:sz w:val="14"/>
          <w:szCs w:val="14"/>
          <w:lang w:eastAsia="zh-TW"/>
        </w:rPr>
      </w:pPr>
      <w:r>
        <w:rPr>
          <w:rFonts w:asciiTheme="majorHAnsi" w:hAnsiTheme="majorHAnsi"/>
          <w:sz w:val="14"/>
          <w:szCs w:val="14"/>
        </w:rPr>
        <w:t>b)</w:t>
      </w:r>
      <w:r w:rsidRPr="00BD66C2">
        <w:rPr>
          <w:rFonts w:asciiTheme="majorHAnsi" w:hAnsiTheme="majorHAnsi"/>
          <w:sz w:val="14"/>
          <w:szCs w:val="14"/>
        </w:rPr>
        <w:t xml:space="preserve"> Chi-square test</w:t>
      </w:r>
      <w:r>
        <w:rPr>
          <w:rFonts w:asciiTheme="majorHAnsi" w:hAnsiTheme="majorHAnsi"/>
          <w:sz w:val="14"/>
          <w:szCs w:val="14"/>
        </w:rPr>
        <w:t xml:space="preserve"> </w:t>
      </w:r>
      <w:r w:rsidRPr="00BD66C2">
        <w:rPr>
          <w:rFonts w:asciiTheme="majorHAnsi" w:hAnsiTheme="majorHAnsi"/>
          <w:sz w:val="14"/>
          <w:szCs w:val="14"/>
        </w:rPr>
        <w:t>(for categorical variables).</w:t>
      </w:r>
    </w:p>
    <w:p w14:paraId="648E6582" w14:textId="50B70CB1" w:rsidR="00202929" w:rsidRDefault="00202929" w:rsidP="00BD66C2">
      <w:pPr>
        <w:pStyle w:val="BodyText"/>
        <w:spacing w:line="276" w:lineRule="auto"/>
        <w:ind w:right="127"/>
        <w:jc w:val="both"/>
        <w:rPr>
          <w:rFonts w:asciiTheme="majorHAnsi" w:hAnsiTheme="majorHAnsi"/>
          <w:color w:val="231F20"/>
        </w:rPr>
      </w:pPr>
    </w:p>
    <w:p w14:paraId="196EC822" w14:textId="17D27673" w:rsidR="0038794A" w:rsidRDefault="0038794A" w:rsidP="00197058">
      <w:pPr>
        <w:pStyle w:val="BodyText"/>
        <w:spacing w:line="276" w:lineRule="auto"/>
        <w:ind w:left="140" w:right="127" w:firstLine="283"/>
        <w:jc w:val="both"/>
        <w:rPr>
          <w:rFonts w:asciiTheme="majorHAnsi" w:hAnsiTheme="majorHAnsi"/>
        </w:rPr>
      </w:pPr>
      <w:r>
        <w:rPr>
          <w:rFonts w:asciiTheme="majorHAnsi" w:hAnsiTheme="majorHAnsi"/>
          <w:color w:val="231F20"/>
        </w:rPr>
        <w:t xml:space="preserve">In bivariate analysis (Table 2), there were no statistically significant differences with anthropometric indicators between picky and non-picky eaters. Children with picky eating had </w:t>
      </w:r>
      <w:proofErr w:type="gramStart"/>
      <w:r>
        <w:rPr>
          <w:rFonts w:asciiTheme="majorHAnsi" w:hAnsiTheme="majorHAnsi"/>
          <w:color w:val="231F20"/>
        </w:rPr>
        <w:t>sligh</w:t>
      </w:r>
      <w:r w:rsidR="00C74FF7">
        <w:rPr>
          <w:rFonts w:asciiTheme="majorHAnsi" w:hAnsiTheme="majorHAnsi"/>
          <w:color w:val="231F20"/>
        </w:rPr>
        <w:t>tly  lower</w:t>
      </w:r>
      <w:proofErr w:type="gramEnd"/>
      <w:r w:rsidR="00C74FF7">
        <w:rPr>
          <w:rFonts w:asciiTheme="majorHAnsi" w:hAnsiTheme="majorHAnsi"/>
          <w:color w:val="231F20"/>
        </w:rPr>
        <w:t xml:space="preserve"> mean weight (17.1</w:t>
      </w:r>
      <w:r w:rsidR="00C74FF7" w:rsidRPr="00B51D6F">
        <w:rPr>
          <w:rFonts w:asciiTheme="majorHAnsi" w:hAnsiTheme="majorHAnsi"/>
        </w:rPr>
        <w:t>±</w:t>
      </w:r>
      <w:r w:rsidR="00C74FF7">
        <w:rPr>
          <w:rFonts w:asciiTheme="majorHAnsi" w:hAnsiTheme="majorHAnsi"/>
        </w:rPr>
        <w:t>4.3 and 18.0</w:t>
      </w:r>
      <w:r w:rsidR="00C74FF7" w:rsidRPr="00B51D6F">
        <w:rPr>
          <w:rFonts w:asciiTheme="majorHAnsi" w:hAnsiTheme="majorHAnsi"/>
        </w:rPr>
        <w:t>±</w:t>
      </w:r>
      <w:r w:rsidR="00C74FF7">
        <w:rPr>
          <w:rFonts w:asciiTheme="majorHAnsi" w:hAnsiTheme="majorHAnsi"/>
        </w:rPr>
        <w:t>4.7), and shorter height (97.0</w:t>
      </w:r>
      <w:r w:rsidR="00C74FF7" w:rsidRPr="00B51D6F">
        <w:rPr>
          <w:rFonts w:asciiTheme="majorHAnsi" w:hAnsiTheme="majorHAnsi"/>
        </w:rPr>
        <w:t>±</w:t>
      </w:r>
      <w:r w:rsidR="00C74FF7">
        <w:rPr>
          <w:rFonts w:asciiTheme="majorHAnsi" w:hAnsiTheme="majorHAnsi"/>
        </w:rPr>
        <w:t>17.1 and 98.9</w:t>
      </w:r>
      <w:r w:rsidR="00C74FF7" w:rsidRPr="00B51D6F">
        <w:rPr>
          <w:rFonts w:asciiTheme="majorHAnsi" w:hAnsiTheme="majorHAnsi"/>
        </w:rPr>
        <w:t>±</w:t>
      </w:r>
      <w:r w:rsidR="00C74FF7">
        <w:rPr>
          <w:rFonts w:asciiTheme="majorHAnsi" w:hAnsiTheme="majorHAnsi"/>
        </w:rPr>
        <w:t>18.4), although these differences were not significant (p&gt;0.05).</w:t>
      </w:r>
    </w:p>
    <w:p w14:paraId="55C23C76" w14:textId="77777777" w:rsidR="00197058" w:rsidRDefault="00C74FF7" w:rsidP="00197058">
      <w:pPr>
        <w:pStyle w:val="BodyText"/>
        <w:spacing w:line="276" w:lineRule="auto"/>
        <w:ind w:left="140" w:right="127" w:firstLine="283"/>
        <w:jc w:val="both"/>
        <w:rPr>
          <w:rFonts w:asciiTheme="majorHAnsi" w:hAnsiTheme="majorHAnsi"/>
        </w:rPr>
      </w:pPr>
      <w:r>
        <w:rPr>
          <w:rFonts w:asciiTheme="majorHAnsi" w:hAnsiTheme="majorHAnsi"/>
        </w:rPr>
        <w:lastRenderedPageBreak/>
        <w:t xml:space="preserve">Feeding </w:t>
      </w:r>
      <w:r w:rsidRPr="00197058">
        <w:rPr>
          <w:rFonts w:asciiTheme="majorHAnsi" w:hAnsiTheme="majorHAnsi"/>
          <w:color w:val="231F20"/>
        </w:rPr>
        <w:t>practices</w:t>
      </w:r>
      <w:r>
        <w:rPr>
          <w:rFonts w:asciiTheme="majorHAnsi" w:hAnsiTheme="majorHAnsi"/>
        </w:rPr>
        <w:t xml:space="preserve"> scores also did not differ significantly between groups. Restriction, child control, parental pressure, healthy eating guidance and monitoring were comparable between picky and non-picky eaters (p&gt;0.05).</w:t>
      </w:r>
    </w:p>
    <w:p w14:paraId="5A824960" w14:textId="548A393A" w:rsidR="00197058" w:rsidRPr="00197058" w:rsidRDefault="00197058" w:rsidP="00197058">
      <w:pPr>
        <w:pStyle w:val="BodyText"/>
        <w:spacing w:line="276" w:lineRule="auto"/>
        <w:ind w:left="140" w:right="127" w:firstLine="283"/>
        <w:jc w:val="both"/>
        <w:rPr>
          <w:rFonts w:asciiTheme="majorHAnsi" w:hAnsiTheme="majorHAnsi"/>
        </w:rPr>
      </w:pPr>
      <w:r>
        <w:rPr>
          <w:rFonts w:asciiTheme="majorHAnsi" w:hAnsiTheme="majorHAnsi"/>
        </w:rPr>
        <w:t>Caregiver type did not show a significant association with picky eating (p=0.63). Similarly, medical condition such as constipation and acute infection showed no significant difference between groups.</w:t>
      </w:r>
    </w:p>
    <w:p w14:paraId="3334F003" w14:textId="77777777" w:rsidR="00255E48" w:rsidRDefault="00255E48" w:rsidP="00BD66C2">
      <w:pPr>
        <w:pStyle w:val="BodyText"/>
        <w:spacing w:line="276" w:lineRule="auto"/>
        <w:ind w:right="127"/>
        <w:jc w:val="both"/>
        <w:rPr>
          <w:rFonts w:asciiTheme="majorHAnsi" w:hAnsiTheme="majorHAnsi"/>
          <w:color w:val="231F20"/>
        </w:rPr>
      </w:pPr>
    </w:p>
    <w:p w14:paraId="2EB00368" w14:textId="714AAA32" w:rsidR="002F2802" w:rsidRPr="00D859EA" w:rsidRDefault="00D859EA" w:rsidP="00D859EA">
      <w:pPr>
        <w:pStyle w:val="BodyText"/>
        <w:spacing w:line="276" w:lineRule="auto"/>
        <w:ind w:right="127" w:firstLine="142"/>
        <w:jc w:val="both"/>
        <w:rPr>
          <w:rFonts w:asciiTheme="majorHAnsi" w:hAnsiTheme="majorHAnsi"/>
          <w:color w:val="231F20"/>
          <w:sz w:val="14"/>
          <w:szCs w:val="14"/>
        </w:rPr>
      </w:pPr>
      <w:r w:rsidRPr="00D859EA">
        <w:rPr>
          <w:rFonts w:asciiTheme="majorHAnsi" w:hAnsiTheme="majorHAnsi"/>
          <w:color w:val="231F20"/>
          <w:sz w:val="14"/>
          <w:szCs w:val="14"/>
        </w:rPr>
        <w:t>Table 3. Multivariate Analysis</w:t>
      </w:r>
    </w:p>
    <w:tbl>
      <w:tblPr>
        <w:tblW w:w="5770" w:type="dxa"/>
        <w:tblInd w:w="142" w:type="dxa"/>
        <w:tblLook w:val="04A0" w:firstRow="1" w:lastRow="0" w:firstColumn="1" w:lastColumn="0" w:noHBand="0" w:noVBand="1"/>
      </w:tblPr>
      <w:tblGrid>
        <w:gridCol w:w="2410"/>
        <w:gridCol w:w="960"/>
        <w:gridCol w:w="1240"/>
        <w:gridCol w:w="1160"/>
      </w:tblGrid>
      <w:tr w:rsidR="00D859EA" w:rsidRPr="00D859EA" w14:paraId="386270D1" w14:textId="77777777" w:rsidTr="000424BB">
        <w:trPr>
          <w:trHeight w:val="290"/>
        </w:trPr>
        <w:tc>
          <w:tcPr>
            <w:tcW w:w="2410" w:type="dxa"/>
            <w:tcBorders>
              <w:top w:val="single" w:sz="4" w:space="0" w:color="auto"/>
              <w:left w:val="nil"/>
              <w:bottom w:val="single" w:sz="4" w:space="0" w:color="auto"/>
              <w:right w:val="nil"/>
            </w:tcBorders>
            <w:noWrap/>
            <w:vAlign w:val="bottom"/>
            <w:hideMark/>
          </w:tcPr>
          <w:p w14:paraId="4F93FC19" w14:textId="77777777" w:rsidR="00D859EA" w:rsidRPr="00D859EA" w:rsidRDefault="00D859EA" w:rsidP="00D859EA">
            <w:pPr>
              <w:widowControl/>
              <w:autoSpaceDE/>
              <w:autoSpaceDN/>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Variables</w:t>
            </w:r>
          </w:p>
        </w:tc>
        <w:tc>
          <w:tcPr>
            <w:tcW w:w="960" w:type="dxa"/>
            <w:tcBorders>
              <w:top w:val="single" w:sz="4" w:space="0" w:color="auto"/>
              <w:left w:val="nil"/>
              <w:bottom w:val="single" w:sz="4" w:space="0" w:color="auto"/>
              <w:right w:val="nil"/>
            </w:tcBorders>
            <w:noWrap/>
            <w:vAlign w:val="bottom"/>
            <w:hideMark/>
          </w:tcPr>
          <w:p w14:paraId="7B3B1DCD" w14:textId="77777777" w:rsidR="00D859EA" w:rsidRPr="00D859EA" w:rsidRDefault="00D859EA" w:rsidP="00D859EA">
            <w:pPr>
              <w:widowControl/>
              <w:autoSpaceDE/>
              <w:autoSpaceDN/>
              <w:jc w:val="center"/>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AOR</w:t>
            </w:r>
          </w:p>
        </w:tc>
        <w:tc>
          <w:tcPr>
            <w:tcW w:w="1240" w:type="dxa"/>
            <w:tcBorders>
              <w:top w:val="single" w:sz="4" w:space="0" w:color="auto"/>
              <w:left w:val="nil"/>
              <w:bottom w:val="single" w:sz="4" w:space="0" w:color="auto"/>
              <w:right w:val="nil"/>
            </w:tcBorders>
            <w:noWrap/>
            <w:vAlign w:val="bottom"/>
            <w:hideMark/>
          </w:tcPr>
          <w:p w14:paraId="25F32FB2" w14:textId="77777777" w:rsidR="00D859EA" w:rsidRPr="00D859EA" w:rsidRDefault="00D859EA" w:rsidP="00D859EA">
            <w:pPr>
              <w:widowControl/>
              <w:autoSpaceDE/>
              <w:autoSpaceDN/>
              <w:jc w:val="center"/>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95%CI</w:t>
            </w:r>
          </w:p>
        </w:tc>
        <w:tc>
          <w:tcPr>
            <w:tcW w:w="1160" w:type="dxa"/>
            <w:tcBorders>
              <w:top w:val="single" w:sz="4" w:space="0" w:color="auto"/>
              <w:left w:val="nil"/>
              <w:bottom w:val="single" w:sz="4" w:space="0" w:color="auto"/>
              <w:right w:val="nil"/>
            </w:tcBorders>
            <w:noWrap/>
            <w:vAlign w:val="bottom"/>
            <w:hideMark/>
          </w:tcPr>
          <w:p w14:paraId="7D797AA1" w14:textId="76DCC377" w:rsidR="00D859EA" w:rsidRPr="00D859EA" w:rsidRDefault="00D859EA" w:rsidP="00D859EA">
            <w:pPr>
              <w:widowControl/>
              <w:autoSpaceDE/>
              <w:autoSpaceDN/>
              <w:jc w:val="center"/>
              <w:rPr>
                <w:rFonts w:asciiTheme="majorHAnsi" w:eastAsia="Times New Roman" w:hAnsiTheme="majorHAnsi" w:cs="Calibri"/>
                <w:b/>
                <w:bCs/>
                <w:color w:val="000000"/>
                <w:sz w:val="14"/>
                <w:szCs w:val="14"/>
                <w:lang w:val="en-ID" w:eastAsia="en-ID"/>
              </w:rPr>
            </w:pPr>
            <w:r w:rsidRPr="00D859EA">
              <w:rPr>
                <w:rFonts w:asciiTheme="majorHAnsi" w:eastAsia="Times New Roman" w:hAnsiTheme="majorHAnsi" w:cs="Calibri"/>
                <w:b/>
                <w:bCs/>
                <w:color w:val="000000"/>
                <w:sz w:val="14"/>
                <w:szCs w:val="14"/>
                <w:lang w:val="en-ID" w:eastAsia="en-ID"/>
              </w:rPr>
              <w:t>p-value</w:t>
            </w:r>
          </w:p>
        </w:tc>
      </w:tr>
      <w:tr w:rsidR="00D859EA" w:rsidRPr="00D859EA" w14:paraId="3D4D44F2" w14:textId="77777777" w:rsidTr="000424BB">
        <w:trPr>
          <w:trHeight w:val="290"/>
        </w:trPr>
        <w:tc>
          <w:tcPr>
            <w:tcW w:w="2410" w:type="dxa"/>
            <w:tcBorders>
              <w:top w:val="nil"/>
              <w:left w:val="nil"/>
              <w:bottom w:val="nil"/>
              <w:right w:val="nil"/>
            </w:tcBorders>
            <w:noWrap/>
            <w:vAlign w:val="bottom"/>
            <w:hideMark/>
          </w:tcPr>
          <w:p w14:paraId="338EE55B"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Weight (kg)</w:t>
            </w:r>
          </w:p>
        </w:tc>
        <w:tc>
          <w:tcPr>
            <w:tcW w:w="960" w:type="dxa"/>
            <w:tcBorders>
              <w:top w:val="nil"/>
              <w:left w:val="nil"/>
              <w:bottom w:val="nil"/>
              <w:right w:val="nil"/>
            </w:tcBorders>
            <w:noWrap/>
            <w:vAlign w:val="bottom"/>
            <w:hideMark/>
          </w:tcPr>
          <w:p w14:paraId="0C01AF53"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0.97</w:t>
            </w:r>
          </w:p>
        </w:tc>
        <w:tc>
          <w:tcPr>
            <w:tcW w:w="1240" w:type="dxa"/>
            <w:tcBorders>
              <w:top w:val="nil"/>
              <w:left w:val="nil"/>
              <w:bottom w:val="nil"/>
              <w:right w:val="nil"/>
            </w:tcBorders>
            <w:noWrap/>
            <w:vAlign w:val="bottom"/>
            <w:hideMark/>
          </w:tcPr>
          <w:p w14:paraId="37AFBFC5"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0.90-1.05</w:t>
            </w:r>
          </w:p>
        </w:tc>
        <w:tc>
          <w:tcPr>
            <w:tcW w:w="1160" w:type="dxa"/>
            <w:tcBorders>
              <w:top w:val="nil"/>
              <w:left w:val="nil"/>
              <w:bottom w:val="nil"/>
              <w:right w:val="nil"/>
            </w:tcBorders>
            <w:noWrap/>
            <w:vAlign w:val="bottom"/>
            <w:hideMark/>
          </w:tcPr>
          <w:p w14:paraId="6C5CC061"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0.50</w:t>
            </w:r>
          </w:p>
        </w:tc>
      </w:tr>
      <w:tr w:rsidR="00D859EA" w:rsidRPr="00D859EA" w14:paraId="0A4F179B" w14:textId="77777777" w:rsidTr="000424BB">
        <w:trPr>
          <w:trHeight w:val="290"/>
        </w:trPr>
        <w:tc>
          <w:tcPr>
            <w:tcW w:w="2410" w:type="dxa"/>
            <w:tcBorders>
              <w:top w:val="nil"/>
              <w:left w:val="nil"/>
              <w:bottom w:val="nil"/>
              <w:right w:val="nil"/>
            </w:tcBorders>
            <w:noWrap/>
            <w:vAlign w:val="bottom"/>
            <w:hideMark/>
          </w:tcPr>
          <w:p w14:paraId="585ACD8E"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Height (kg)</w:t>
            </w:r>
          </w:p>
        </w:tc>
        <w:tc>
          <w:tcPr>
            <w:tcW w:w="960" w:type="dxa"/>
            <w:tcBorders>
              <w:top w:val="nil"/>
              <w:left w:val="nil"/>
              <w:bottom w:val="nil"/>
              <w:right w:val="nil"/>
            </w:tcBorders>
            <w:noWrap/>
            <w:vAlign w:val="bottom"/>
            <w:hideMark/>
          </w:tcPr>
          <w:p w14:paraId="2E8CB207"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1.00</w:t>
            </w:r>
          </w:p>
        </w:tc>
        <w:tc>
          <w:tcPr>
            <w:tcW w:w="1240" w:type="dxa"/>
            <w:tcBorders>
              <w:top w:val="nil"/>
              <w:left w:val="nil"/>
              <w:bottom w:val="nil"/>
              <w:right w:val="nil"/>
            </w:tcBorders>
            <w:noWrap/>
            <w:vAlign w:val="bottom"/>
            <w:hideMark/>
          </w:tcPr>
          <w:p w14:paraId="66969088"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0.98-1.02</w:t>
            </w:r>
          </w:p>
        </w:tc>
        <w:tc>
          <w:tcPr>
            <w:tcW w:w="1160" w:type="dxa"/>
            <w:tcBorders>
              <w:top w:val="nil"/>
              <w:left w:val="nil"/>
              <w:bottom w:val="nil"/>
              <w:right w:val="nil"/>
            </w:tcBorders>
            <w:noWrap/>
            <w:vAlign w:val="bottom"/>
            <w:hideMark/>
          </w:tcPr>
          <w:p w14:paraId="39339104"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0.82</w:t>
            </w:r>
          </w:p>
        </w:tc>
      </w:tr>
      <w:tr w:rsidR="00D859EA" w:rsidRPr="00D859EA" w14:paraId="33F79D5E" w14:textId="77777777" w:rsidTr="000424BB">
        <w:trPr>
          <w:trHeight w:val="290"/>
        </w:trPr>
        <w:tc>
          <w:tcPr>
            <w:tcW w:w="2410" w:type="dxa"/>
            <w:tcBorders>
              <w:top w:val="nil"/>
              <w:left w:val="nil"/>
              <w:bottom w:val="nil"/>
              <w:right w:val="nil"/>
            </w:tcBorders>
            <w:noWrap/>
            <w:vAlign w:val="bottom"/>
            <w:hideMark/>
          </w:tcPr>
          <w:p w14:paraId="17493DEC"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Restriction (score)</w:t>
            </w:r>
          </w:p>
        </w:tc>
        <w:tc>
          <w:tcPr>
            <w:tcW w:w="960" w:type="dxa"/>
            <w:tcBorders>
              <w:top w:val="nil"/>
              <w:left w:val="nil"/>
              <w:bottom w:val="nil"/>
              <w:right w:val="nil"/>
            </w:tcBorders>
            <w:noWrap/>
            <w:vAlign w:val="bottom"/>
            <w:hideMark/>
          </w:tcPr>
          <w:p w14:paraId="6FD94B71"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0.83</w:t>
            </w:r>
          </w:p>
        </w:tc>
        <w:tc>
          <w:tcPr>
            <w:tcW w:w="1240" w:type="dxa"/>
            <w:tcBorders>
              <w:top w:val="nil"/>
              <w:left w:val="nil"/>
              <w:bottom w:val="nil"/>
              <w:right w:val="nil"/>
            </w:tcBorders>
            <w:noWrap/>
            <w:vAlign w:val="bottom"/>
            <w:hideMark/>
          </w:tcPr>
          <w:p w14:paraId="7E301D8A"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0.51-1.34</w:t>
            </w:r>
          </w:p>
        </w:tc>
        <w:tc>
          <w:tcPr>
            <w:tcW w:w="1160" w:type="dxa"/>
            <w:tcBorders>
              <w:top w:val="nil"/>
              <w:left w:val="nil"/>
              <w:bottom w:val="nil"/>
              <w:right w:val="nil"/>
            </w:tcBorders>
            <w:noWrap/>
            <w:vAlign w:val="bottom"/>
            <w:hideMark/>
          </w:tcPr>
          <w:p w14:paraId="16EA4221"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0.44</w:t>
            </w:r>
          </w:p>
        </w:tc>
      </w:tr>
      <w:tr w:rsidR="00D859EA" w:rsidRPr="00D859EA" w14:paraId="0168A8DF" w14:textId="77777777" w:rsidTr="000424BB">
        <w:trPr>
          <w:trHeight w:val="290"/>
        </w:trPr>
        <w:tc>
          <w:tcPr>
            <w:tcW w:w="2410" w:type="dxa"/>
            <w:tcBorders>
              <w:top w:val="nil"/>
              <w:left w:val="nil"/>
              <w:bottom w:val="single" w:sz="4" w:space="0" w:color="auto"/>
              <w:right w:val="nil"/>
            </w:tcBorders>
            <w:noWrap/>
            <w:vAlign w:val="bottom"/>
            <w:hideMark/>
          </w:tcPr>
          <w:p w14:paraId="3D5CED86" w14:textId="77777777" w:rsidR="00D859EA" w:rsidRPr="00D859EA" w:rsidRDefault="00D859EA" w:rsidP="00D859EA">
            <w:pPr>
              <w:widowControl/>
              <w:autoSpaceDE/>
              <w:autoSpaceDN/>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Healthy eating guidance (score)</w:t>
            </w:r>
          </w:p>
        </w:tc>
        <w:tc>
          <w:tcPr>
            <w:tcW w:w="960" w:type="dxa"/>
            <w:tcBorders>
              <w:top w:val="nil"/>
              <w:left w:val="nil"/>
              <w:bottom w:val="single" w:sz="4" w:space="0" w:color="auto"/>
              <w:right w:val="nil"/>
            </w:tcBorders>
            <w:noWrap/>
            <w:vAlign w:val="bottom"/>
            <w:hideMark/>
          </w:tcPr>
          <w:p w14:paraId="3111075F"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1.78</w:t>
            </w:r>
          </w:p>
        </w:tc>
        <w:tc>
          <w:tcPr>
            <w:tcW w:w="1240" w:type="dxa"/>
            <w:tcBorders>
              <w:top w:val="nil"/>
              <w:left w:val="nil"/>
              <w:bottom w:val="single" w:sz="4" w:space="0" w:color="auto"/>
              <w:right w:val="nil"/>
            </w:tcBorders>
            <w:noWrap/>
            <w:vAlign w:val="bottom"/>
            <w:hideMark/>
          </w:tcPr>
          <w:p w14:paraId="75548B3E"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0.91-3.48</w:t>
            </w:r>
          </w:p>
        </w:tc>
        <w:tc>
          <w:tcPr>
            <w:tcW w:w="1160" w:type="dxa"/>
            <w:tcBorders>
              <w:top w:val="nil"/>
              <w:left w:val="nil"/>
              <w:bottom w:val="single" w:sz="4" w:space="0" w:color="auto"/>
              <w:right w:val="nil"/>
            </w:tcBorders>
            <w:noWrap/>
            <w:vAlign w:val="bottom"/>
            <w:hideMark/>
          </w:tcPr>
          <w:p w14:paraId="476ED185" w14:textId="77777777" w:rsidR="00D859EA" w:rsidRPr="00D859EA" w:rsidRDefault="00D859EA" w:rsidP="00D859EA">
            <w:pPr>
              <w:widowControl/>
              <w:autoSpaceDE/>
              <w:autoSpaceDN/>
              <w:jc w:val="center"/>
              <w:rPr>
                <w:rFonts w:asciiTheme="majorHAnsi" w:eastAsia="Times New Roman" w:hAnsiTheme="majorHAnsi" w:cs="Calibri"/>
                <w:color w:val="000000"/>
                <w:sz w:val="14"/>
                <w:szCs w:val="14"/>
                <w:lang w:val="en-ID" w:eastAsia="en-ID"/>
              </w:rPr>
            </w:pPr>
            <w:r w:rsidRPr="00D859EA">
              <w:rPr>
                <w:rFonts w:asciiTheme="majorHAnsi" w:eastAsia="Times New Roman" w:hAnsiTheme="majorHAnsi" w:cs="Calibri"/>
                <w:color w:val="000000"/>
                <w:sz w:val="14"/>
                <w:szCs w:val="14"/>
                <w:lang w:val="en-ID" w:eastAsia="en-ID"/>
              </w:rPr>
              <w:t>0.09</w:t>
            </w:r>
          </w:p>
        </w:tc>
      </w:tr>
    </w:tbl>
    <w:p w14:paraId="21243283" w14:textId="77777777" w:rsidR="004C5C0B" w:rsidRDefault="004C5C0B" w:rsidP="004C5C0B">
      <w:pPr>
        <w:pStyle w:val="BodyText"/>
        <w:spacing w:line="276" w:lineRule="auto"/>
        <w:ind w:left="140" w:right="127" w:firstLine="2"/>
        <w:rPr>
          <w:rFonts w:asciiTheme="majorHAnsi" w:hAnsiTheme="majorHAnsi"/>
          <w:sz w:val="14"/>
          <w:szCs w:val="14"/>
        </w:rPr>
      </w:pPr>
      <w:r w:rsidRPr="00BD66C2">
        <w:rPr>
          <w:rFonts w:asciiTheme="majorHAnsi" w:hAnsiTheme="majorHAnsi"/>
          <w:i/>
          <w:iCs/>
          <w:sz w:val="14"/>
          <w:szCs w:val="14"/>
        </w:rPr>
        <w:t>p-</w:t>
      </w:r>
      <w:r w:rsidRPr="00BD66C2">
        <w:rPr>
          <w:rFonts w:asciiTheme="majorHAnsi" w:hAnsiTheme="majorHAnsi"/>
          <w:sz w:val="14"/>
          <w:szCs w:val="14"/>
        </w:rPr>
        <w:t>values &lt; 0.05 are considered statistically significant.</w:t>
      </w:r>
    </w:p>
    <w:p w14:paraId="4FE2410F" w14:textId="7FB7B8D7" w:rsidR="00D859EA" w:rsidRDefault="004C5C0B" w:rsidP="004C5C0B">
      <w:pPr>
        <w:pStyle w:val="BodyText"/>
        <w:spacing w:line="276" w:lineRule="auto"/>
        <w:ind w:left="140" w:right="127" w:firstLine="2"/>
        <w:rPr>
          <w:rFonts w:asciiTheme="majorHAnsi" w:hAnsiTheme="majorHAnsi"/>
          <w:color w:val="231F20"/>
        </w:rPr>
      </w:pPr>
      <w:r>
        <w:rPr>
          <w:rFonts w:asciiTheme="majorHAnsi" w:hAnsiTheme="majorHAnsi"/>
          <w:sz w:val="14"/>
          <w:szCs w:val="14"/>
        </w:rPr>
        <w:t>Logistic regression test</w:t>
      </w:r>
      <w:r w:rsidRPr="00BD66C2">
        <w:rPr>
          <w:rFonts w:asciiTheme="majorHAnsi" w:hAnsiTheme="majorHAnsi"/>
          <w:sz w:val="14"/>
          <w:szCs w:val="14"/>
        </w:rPr>
        <w:br/>
      </w:r>
    </w:p>
    <w:p w14:paraId="14229090" w14:textId="4B9CE7E5" w:rsidR="00197058" w:rsidRPr="00197058" w:rsidRDefault="00197058" w:rsidP="00197058">
      <w:pPr>
        <w:pStyle w:val="BodyText"/>
        <w:spacing w:line="276" w:lineRule="auto"/>
        <w:ind w:left="140" w:right="127" w:firstLine="283"/>
        <w:jc w:val="both"/>
        <w:rPr>
          <w:rFonts w:asciiTheme="majorHAnsi" w:eastAsia="Times New Roman" w:hAnsiTheme="majorHAnsi" w:cs="Times New Roman"/>
          <w:lang w:val="en-ID" w:eastAsia="en-ID"/>
        </w:rPr>
      </w:pPr>
      <w:r w:rsidRPr="00197058">
        <w:rPr>
          <w:rFonts w:asciiTheme="majorHAnsi" w:eastAsia="Times New Roman" w:hAnsiTheme="majorHAnsi" w:cs="Times New Roman"/>
          <w:lang w:val="en-ID" w:eastAsia="en-ID"/>
        </w:rPr>
        <w:t xml:space="preserve">Multivariate </w:t>
      </w:r>
      <w:r w:rsidRPr="00197058">
        <w:rPr>
          <w:rFonts w:asciiTheme="majorHAnsi" w:hAnsiTheme="majorHAnsi"/>
        </w:rPr>
        <w:t>analysis</w:t>
      </w:r>
      <w:r>
        <w:rPr>
          <w:rFonts w:asciiTheme="majorHAnsi" w:hAnsiTheme="majorHAnsi"/>
        </w:rPr>
        <w:t xml:space="preserve"> (Table 3)</w:t>
      </w:r>
      <w:r w:rsidRPr="00197058">
        <w:rPr>
          <w:rFonts w:asciiTheme="majorHAnsi" w:eastAsia="Times New Roman" w:hAnsiTheme="majorHAnsi" w:cs="Times New Roman"/>
          <w:lang w:val="en-ID" w:eastAsia="en-ID"/>
        </w:rPr>
        <w:t xml:space="preserve"> showed that weight, height, restriction, and healthy eating guidance were not independently associated with picky eating (all p&gt;0.05), although healthy eating guidance showed a non-significant increasing trend.</w:t>
      </w:r>
    </w:p>
    <w:p w14:paraId="463B19D3" w14:textId="77777777" w:rsidR="00197058" w:rsidRDefault="00197058" w:rsidP="004C5C0B">
      <w:pPr>
        <w:pStyle w:val="BodyText"/>
        <w:spacing w:line="276" w:lineRule="auto"/>
        <w:ind w:left="140" w:right="127" w:firstLine="2"/>
        <w:rPr>
          <w:rFonts w:asciiTheme="majorHAnsi" w:hAnsiTheme="majorHAnsi"/>
          <w:color w:val="231F20"/>
        </w:rPr>
      </w:pPr>
    </w:p>
    <w:p w14:paraId="4A2125D0" w14:textId="77777777" w:rsidR="00091454" w:rsidRDefault="00091454" w:rsidP="000B334F">
      <w:pPr>
        <w:pStyle w:val="BodyText"/>
        <w:spacing w:line="276" w:lineRule="auto"/>
        <w:ind w:left="140" w:right="127" w:firstLine="283"/>
        <w:jc w:val="both"/>
        <w:rPr>
          <w:rFonts w:asciiTheme="majorHAnsi" w:hAnsiTheme="majorHAnsi"/>
          <w:color w:val="231F20"/>
        </w:rPr>
      </w:pPr>
    </w:p>
    <w:p w14:paraId="486333C8" w14:textId="77777777" w:rsidR="00091454" w:rsidRPr="002E068A" w:rsidRDefault="00091454" w:rsidP="000B334F">
      <w:pPr>
        <w:pStyle w:val="BodyText"/>
        <w:spacing w:line="276" w:lineRule="auto"/>
        <w:ind w:left="140" w:right="127" w:firstLine="283"/>
        <w:jc w:val="both"/>
        <w:rPr>
          <w:rFonts w:asciiTheme="majorHAnsi" w:hAnsiTheme="majorHAnsi"/>
          <w:color w:val="231F20"/>
        </w:rPr>
      </w:pPr>
    </w:p>
    <w:p w14:paraId="65D49DB5" w14:textId="77777777" w:rsidR="00103C99" w:rsidRDefault="00103C99" w:rsidP="00060539">
      <w:pPr>
        <w:pStyle w:val="Heading1"/>
        <w:spacing w:line="276" w:lineRule="auto"/>
        <w:ind w:left="0"/>
        <w:rPr>
          <w:rFonts w:asciiTheme="majorHAnsi" w:hAnsiTheme="majorHAnsi"/>
          <w:color w:val="231F20"/>
          <w:spacing w:val="-2"/>
        </w:rPr>
      </w:pPr>
    </w:p>
    <w:p w14:paraId="2329AB72" w14:textId="23AAADA7" w:rsidR="00164916" w:rsidRPr="002E068A" w:rsidRDefault="007E690D" w:rsidP="000B334F">
      <w:pPr>
        <w:pStyle w:val="Heading1"/>
        <w:spacing w:line="276" w:lineRule="auto"/>
        <w:ind w:left="142"/>
        <w:rPr>
          <w:rFonts w:asciiTheme="majorHAnsi" w:hAnsiTheme="majorHAnsi"/>
        </w:rPr>
      </w:pPr>
      <w:r w:rsidRPr="002E068A">
        <w:rPr>
          <w:rFonts w:asciiTheme="majorHAnsi" w:hAnsiTheme="majorHAnsi"/>
          <w:color w:val="231F20"/>
          <w:spacing w:val="-2"/>
        </w:rPr>
        <w:t>Discussion</w:t>
      </w:r>
      <w:r w:rsidR="004B3A85">
        <w:rPr>
          <w:rFonts w:asciiTheme="majorHAnsi" w:hAnsiTheme="majorHAnsi"/>
          <w:color w:val="231F20"/>
          <w:spacing w:val="-2"/>
        </w:rPr>
        <w:t xml:space="preserve"> </w:t>
      </w:r>
      <w:r w:rsidR="004B3A85" w:rsidRPr="007C42AF">
        <w:rPr>
          <w:rFonts w:asciiTheme="majorHAnsi" w:hAnsiTheme="majorHAnsi"/>
          <w:b w:val="0"/>
          <w:bCs w:val="0"/>
          <w:color w:val="231F20"/>
          <w:highlight w:val="darkGray"/>
        </w:rPr>
        <w:t>(Cambria, 10pt, 1.15 space)</w:t>
      </w:r>
    </w:p>
    <w:p w14:paraId="2EC54B3E" w14:textId="0E3C8322" w:rsidR="004E68CF" w:rsidRPr="004E68CF" w:rsidRDefault="007E690D" w:rsidP="000B334F">
      <w:pPr>
        <w:pStyle w:val="Body"/>
        <w:spacing w:line="276" w:lineRule="auto"/>
        <w:ind w:left="142"/>
        <w:rPr>
          <w:rFonts w:ascii="Cambria" w:hAnsi="Cambria"/>
          <w:sz w:val="20"/>
        </w:rPr>
      </w:pPr>
      <w:r w:rsidRPr="004E68CF">
        <w:rPr>
          <w:rFonts w:asciiTheme="majorHAnsi" w:hAnsiTheme="majorHAnsi"/>
          <w:color w:val="231F20"/>
          <w:sz w:val="20"/>
        </w:rPr>
        <w:t>Th</w:t>
      </w:r>
      <w:r w:rsidR="0048573C" w:rsidRPr="004E68CF">
        <w:rPr>
          <w:rFonts w:asciiTheme="majorHAnsi" w:hAnsiTheme="majorHAnsi"/>
          <w:color w:val="231F20"/>
          <w:sz w:val="20"/>
        </w:rPr>
        <w:t xml:space="preserve">e Discussion should argumentatively and adequately define the research results with any relevant theory and prior findings. </w:t>
      </w:r>
      <w:r w:rsidR="00E34740" w:rsidRPr="004E68CF">
        <w:rPr>
          <w:rFonts w:asciiTheme="majorHAnsi" w:hAnsiTheme="majorHAnsi"/>
          <w:color w:val="231F20"/>
          <w:sz w:val="20"/>
        </w:rPr>
        <w:t>The findings and their implications should be discussed in the broadest context possible. Future research directions may also be highlighted.</w:t>
      </w:r>
      <w:r w:rsidR="004E68CF" w:rsidRPr="004E68CF">
        <w:rPr>
          <w:rFonts w:asciiTheme="majorHAnsi" w:hAnsiTheme="majorHAnsi"/>
          <w:color w:val="231F20"/>
          <w:sz w:val="20"/>
        </w:rPr>
        <w:t xml:space="preserve"> </w:t>
      </w:r>
      <w:r w:rsidR="004E68CF" w:rsidRPr="004E68CF">
        <w:rPr>
          <w:rFonts w:ascii="Cambria" w:hAnsi="Cambria"/>
          <w:sz w:val="20"/>
        </w:rPr>
        <w:t>The discussion should explore the significance of the results of the work, not repeat them. Make the discussion correspond to the results, but do not reiterate the results.</w:t>
      </w:r>
    </w:p>
    <w:p w14:paraId="61E4648F" w14:textId="17521DA7" w:rsidR="004E68CF" w:rsidRPr="004E68CF" w:rsidRDefault="004E68CF" w:rsidP="000B334F">
      <w:pPr>
        <w:pStyle w:val="Body"/>
        <w:spacing w:line="276" w:lineRule="auto"/>
        <w:ind w:left="142"/>
        <w:rPr>
          <w:sz w:val="20"/>
        </w:rPr>
      </w:pPr>
      <w:r w:rsidRPr="004E68CF">
        <w:rPr>
          <w:rFonts w:ascii="Cambria" w:hAnsi="Cambria"/>
          <w:sz w:val="20"/>
        </w:rPr>
        <w:t xml:space="preserve">The following components should be </w:t>
      </w:r>
      <w:r>
        <w:rPr>
          <w:rFonts w:ascii="Cambria" w:hAnsi="Cambria"/>
          <w:sz w:val="20"/>
        </w:rPr>
        <w:t>discussed</w:t>
      </w:r>
      <w:r w:rsidRPr="004E68CF">
        <w:rPr>
          <w:rFonts w:ascii="Cambria" w:hAnsi="Cambria"/>
          <w:sz w:val="20"/>
        </w:rPr>
        <w:t xml:space="preserve">: How do your results relate to the original question or objectives outlined in the Introduction section (what)? Do you provide </w:t>
      </w:r>
      <w:r>
        <w:rPr>
          <w:rFonts w:ascii="Cambria" w:hAnsi="Cambria"/>
          <w:sz w:val="20"/>
        </w:rPr>
        <w:t>a scientific interpretation</w:t>
      </w:r>
      <w:r w:rsidRPr="004E68CF">
        <w:rPr>
          <w:rFonts w:ascii="Cambria" w:hAnsi="Cambria"/>
          <w:sz w:val="20"/>
        </w:rPr>
        <w:t xml:space="preserve"> for each of your results or findings presented (why)? Are your results consistent with what other investigators have reported (what else)? Or are there any differences?</w:t>
      </w:r>
    </w:p>
    <w:p w14:paraId="2B542069" w14:textId="77777777" w:rsidR="004E68CF" w:rsidRPr="002E068A" w:rsidRDefault="004E68CF" w:rsidP="000B334F">
      <w:pPr>
        <w:pStyle w:val="BodyText"/>
        <w:spacing w:line="276" w:lineRule="auto"/>
        <w:ind w:right="128"/>
        <w:jc w:val="both"/>
        <w:rPr>
          <w:rFonts w:asciiTheme="majorHAnsi" w:hAnsiTheme="majorHAnsi"/>
          <w:color w:val="231F20"/>
        </w:rPr>
      </w:pPr>
    </w:p>
    <w:p w14:paraId="35B97C6B" w14:textId="235555FE" w:rsidR="009926D8" w:rsidRPr="002E068A" w:rsidRDefault="009926D8" w:rsidP="000B334F">
      <w:pPr>
        <w:pStyle w:val="Heading1"/>
        <w:spacing w:line="276" w:lineRule="auto"/>
        <w:ind w:left="142"/>
        <w:rPr>
          <w:rFonts w:asciiTheme="majorHAnsi" w:hAnsiTheme="majorHAnsi"/>
        </w:rPr>
      </w:pPr>
      <w:r w:rsidRPr="002E068A">
        <w:rPr>
          <w:rFonts w:asciiTheme="majorHAnsi" w:hAnsiTheme="majorHAnsi"/>
          <w:color w:val="231F20"/>
          <w:spacing w:val="-2"/>
        </w:rPr>
        <w:t>Conclusion</w:t>
      </w:r>
      <w:r w:rsidR="00427C8F">
        <w:rPr>
          <w:rFonts w:asciiTheme="majorHAnsi" w:hAnsiTheme="majorHAnsi"/>
          <w:color w:val="231F20"/>
          <w:spacing w:val="-2"/>
        </w:rPr>
        <w:t xml:space="preserve"> </w:t>
      </w:r>
      <w:r w:rsidR="00427C8F" w:rsidRPr="007C42AF">
        <w:rPr>
          <w:rFonts w:asciiTheme="majorHAnsi" w:hAnsiTheme="majorHAnsi"/>
          <w:b w:val="0"/>
          <w:bCs w:val="0"/>
          <w:color w:val="231F20"/>
          <w:highlight w:val="darkGray"/>
        </w:rPr>
        <w:t>(Cambria, 10pt, 1.15 space)</w:t>
      </w:r>
    </w:p>
    <w:p w14:paraId="27E6E845" w14:textId="764AE81F" w:rsidR="009926D8" w:rsidRPr="004E68CF" w:rsidRDefault="004E68CF" w:rsidP="000B334F">
      <w:pPr>
        <w:pStyle w:val="Body"/>
        <w:spacing w:line="276" w:lineRule="auto"/>
        <w:ind w:left="142" w:firstLine="0"/>
        <w:rPr>
          <w:rFonts w:ascii="Cambria" w:hAnsi="Cambria"/>
          <w:sz w:val="20"/>
        </w:rPr>
      </w:pPr>
      <w:r w:rsidRPr="004E68CF">
        <w:rPr>
          <w:rFonts w:ascii="Cambria" w:hAnsi="Cambria"/>
          <w:sz w:val="20"/>
        </w:rPr>
        <w:t xml:space="preserve">Conclusions should answer the objectives of </w:t>
      </w:r>
      <w:r>
        <w:rPr>
          <w:rFonts w:ascii="Cambria" w:hAnsi="Cambria"/>
          <w:sz w:val="20"/>
        </w:rPr>
        <w:t xml:space="preserve">the </w:t>
      </w:r>
      <w:r w:rsidRPr="004E68CF">
        <w:rPr>
          <w:rFonts w:ascii="Cambria" w:hAnsi="Cambria"/>
          <w:sz w:val="20"/>
        </w:rPr>
        <w:t xml:space="preserve">research. Tells how your work advances the field from the present state of knowledge. Without clear Conclusions, reviewers and readers will find it difficult to judge </w:t>
      </w:r>
      <w:r>
        <w:rPr>
          <w:rFonts w:ascii="Cambria" w:hAnsi="Cambria"/>
          <w:sz w:val="20"/>
        </w:rPr>
        <w:t>whether the work</w:t>
      </w:r>
      <w:r w:rsidRPr="004E68CF">
        <w:rPr>
          <w:rFonts w:ascii="Cambria" w:hAnsi="Cambria"/>
          <w:sz w:val="20"/>
        </w:rPr>
        <w:t xml:space="preserve"> merits publication in the journal. Do not repeat the Abstract or just list experimental results. Provide a clear scientific justification for your work and indicate possible applications and extensions. You should also suggest future experiments and/or </w:t>
      </w:r>
      <w:r>
        <w:rPr>
          <w:rFonts w:ascii="Cambria" w:hAnsi="Cambria"/>
          <w:sz w:val="20"/>
        </w:rPr>
        <w:t>highlight thos</w:t>
      </w:r>
      <w:r w:rsidRPr="004E68CF">
        <w:rPr>
          <w:rFonts w:ascii="Cambria" w:hAnsi="Cambria"/>
          <w:sz w:val="20"/>
        </w:rPr>
        <w:t xml:space="preserve">e underway. </w:t>
      </w:r>
      <w:r w:rsidR="00E34740" w:rsidRPr="004E68CF">
        <w:rPr>
          <w:rFonts w:asciiTheme="majorHAnsi" w:hAnsiTheme="majorHAnsi"/>
          <w:color w:val="231F20"/>
          <w:sz w:val="20"/>
        </w:rPr>
        <w:t xml:space="preserve">Write the </w:t>
      </w:r>
      <w:r w:rsidR="004B3A85">
        <w:rPr>
          <w:rFonts w:asciiTheme="majorHAnsi" w:hAnsiTheme="majorHAnsi"/>
          <w:color w:val="231F20"/>
          <w:sz w:val="20"/>
        </w:rPr>
        <w:t>C</w:t>
      </w:r>
      <w:r w:rsidR="00E34740" w:rsidRPr="004E68CF">
        <w:rPr>
          <w:rFonts w:asciiTheme="majorHAnsi" w:hAnsiTheme="majorHAnsi"/>
          <w:color w:val="231F20"/>
          <w:sz w:val="20"/>
        </w:rPr>
        <w:t>onclusion</w:t>
      </w:r>
      <w:r w:rsidR="009926D8" w:rsidRPr="004E68CF">
        <w:rPr>
          <w:rFonts w:asciiTheme="majorHAnsi" w:hAnsiTheme="majorHAnsi"/>
          <w:color w:val="231F20"/>
          <w:sz w:val="20"/>
        </w:rPr>
        <w:t xml:space="preserve"> in the form of narration</w:t>
      </w:r>
      <w:r w:rsidR="004B3A85">
        <w:rPr>
          <w:rFonts w:asciiTheme="majorHAnsi" w:hAnsiTheme="majorHAnsi"/>
          <w:color w:val="231F20"/>
          <w:sz w:val="20"/>
        </w:rPr>
        <w:t>. Be logical and effective. The Conclusion should</w:t>
      </w:r>
      <w:r>
        <w:rPr>
          <w:rFonts w:asciiTheme="majorHAnsi" w:hAnsiTheme="majorHAnsi"/>
          <w:color w:val="231F20"/>
          <w:sz w:val="20"/>
        </w:rPr>
        <w:t xml:space="preserve"> consist of 3-5 sentences</w:t>
      </w:r>
      <w:r w:rsidR="004B3A85">
        <w:rPr>
          <w:rFonts w:asciiTheme="majorHAnsi" w:hAnsiTheme="majorHAnsi"/>
          <w:color w:val="231F20"/>
          <w:sz w:val="20"/>
        </w:rPr>
        <w:t xml:space="preserve"> in the simple present tense</w:t>
      </w:r>
      <w:r>
        <w:rPr>
          <w:rFonts w:asciiTheme="majorHAnsi" w:hAnsiTheme="majorHAnsi"/>
          <w:color w:val="231F20"/>
          <w:sz w:val="20"/>
        </w:rPr>
        <w:t>. Do not state the data in this section.</w:t>
      </w:r>
    </w:p>
    <w:p w14:paraId="606958E9" w14:textId="77777777" w:rsidR="009926D8" w:rsidRPr="002E068A" w:rsidRDefault="009926D8" w:rsidP="000B334F">
      <w:pPr>
        <w:pStyle w:val="BodyText"/>
        <w:spacing w:line="276" w:lineRule="auto"/>
        <w:rPr>
          <w:rFonts w:asciiTheme="majorHAnsi" w:hAnsiTheme="majorHAnsi"/>
        </w:rPr>
      </w:pPr>
    </w:p>
    <w:p w14:paraId="4484C52D" w14:textId="4A32CF37" w:rsidR="009926D8" w:rsidRPr="002E068A" w:rsidRDefault="009926D8" w:rsidP="000B334F">
      <w:pPr>
        <w:spacing w:line="276" w:lineRule="auto"/>
        <w:ind w:left="135"/>
        <w:rPr>
          <w:rFonts w:asciiTheme="majorHAnsi" w:hAnsiTheme="majorHAnsi"/>
          <w:b/>
          <w:color w:val="231F20"/>
          <w:spacing w:val="-2"/>
          <w:sz w:val="16"/>
        </w:rPr>
      </w:pPr>
      <w:r w:rsidRPr="002E068A">
        <w:rPr>
          <w:rFonts w:asciiTheme="majorHAnsi" w:hAnsiTheme="majorHAnsi"/>
          <w:b/>
          <w:color w:val="231F20"/>
          <w:spacing w:val="-2"/>
          <w:sz w:val="16"/>
        </w:rPr>
        <w:t>Abbreviations</w:t>
      </w:r>
      <w:r w:rsidR="00E34740" w:rsidRPr="002E068A">
        <w:rPr>
          <w:rFonts w:asciiTheme="majorHAnsi" w:hAnsiTheme="majorHAnsi"/>
          <w:b/>
          <w:color w:val="231F20"/>
          <w:spacing w:val="-2"/>
          <w:sz w:val="16"/>
        </w:rPr>
        <w:t xml:space="preserve"> </w:t>
      </w:r>
      <w:r w:rsidR="00E34740" w:rsidRPr="00A1037E">
        <w:rPr>
          <w:rFonts w:asciiTheme="majorHAnsi" w:hAnsiTheme="majorHAnsi"/>
          <w:color w:val="231F20"/>
          <w:sz w:val="16"/>
          <w:highlight w:val="darkGray"/>
        </w:rPr>
        <w:t>(</w:t>
      </w:r>
      <w:r w:rsidR="00A1037E" w:rsidRPr="00A1037E">
        <w:rPr>
          <w:rFonts w:asciiTheme="majorHAnsi" w:hAnsiTheme="majorHAnsi"/>
          <w:color w:val="231F20"/>
          <w:sz w:val="16"/>
          <w:highlight w:val="darkGray"/>
        </w:rPr>
        <w:t>Cambria</w:t>
      </w:r>
      <w:r w:rsidR="00E34740" w:rsidRPr="00A1037E">
        <w:rPr>
          <w:rFonts w:asciiTheme="majorHAnsi" w:hAnsiTheme="majorHAnsi"/>
          <w:color w:val="231F20"/>
          <w:sz w:val="16"/>
          <w:highlight w:val="darkGray"/>
        </w:rPr>
        <w:t>, 8pt</w:t>
      </w:r>
      <w:r w:rsidR="00A1037E" w:rsidRPr="00A1037E">
        <w:rPr>
          <w:rFonts w:asciiTheme="majorHAnsi" w:hAnsiTheme="majorHAnsi"/>
          <w:color w:val="231F20"/>
          <w:sz w:val="16"/>
          <w:highlight w:val="darkGray"/>
        </w:rPr>
        <w:t>, 1.15 space</w:t>
      </w:r>
      <w:r w:rsidR="00E34740" w:rsidRPr="00A1037E">
        <w:rPr>
          <w:rFonts w:asciiTheme="majorHAnsi" w:hAnsiTheme="majorHAnsi"/>
          <w:color w:val="231F20"/>
          <w:sz w:val="16"/>
          <w:highlight w:val="darkGray"/>
        </w:rPr>
        <w:t>)</w:t>
      </w:r>
    </w:p>
    <w:p w14:paraId="348D23B8" w14:textId="0CE8D45D" w:rsidR="009926D8" w:rsidRPr="002E068A" w:rsidRDefault="000D1CA2"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contains all the </w:t>
      </w:r>
      <w:r w:rsidR="00FB68BF" w:rsidRPr="002E068A">
        <w:rPr>
          <w:rFonts w:asciiTheme="majorHAnsi" w:hAnsiTheme="majorHAnsi"/>
          <w:color w:val="231F20"/>
          <w:sz w:val="16"/>
        </w:rPr>
        <w:t>abbreviations</w:t>
      </w:r>
      <w:r w:rsidRPr="002E068A">
        <w:rPr>
          <w:rFonts w:asciiTheme="majorHAnsi" w:hAnsiTheme="majorHAnsi"/>
          <w:color w:val="231F20"/>
          <w:sz w:val="16"/>
        </w:rPr>
        <w:t xml:space="preserve"> mentioned </w:t>
      </w:r>
      <w:r w:rsidR="00FB68BF" w:rsidRPr="002E068A">
        <w:rPr>
          <w:rFonts w:asciiTheme="majorHAnsi" w:hAnsiTheme="majorHAnsi"/>
          <w:color w:val="231F20"/>
          <w:sz w:val="16"/>
        </w:rPr>
        <w:t xml:space="preserve">from </w:t>
      </w:r>
      <w:r w:rsidR="00A1037E">
        <w:rPr>
          <w:rFonts w:asciiTheme="majorHAnsi" w:hAnsiTheme="majorHAnsi"/>
          <w:color w:val="231F20"/>
          <w:sz w:val="16"/>
        </w:rPr>
        <w:t xml:space="preserve">the </w:t>
      </w:r>
      <w:r w:rsidR="00FB68BF" w:rsidRPr="002E068A">
        <w:rPr>
          <w:rFonts w:asciiTheme="majorHAnsi" w:hAnsiTheme="majorHAnsi"/>
          <w:color w:val="231F20"/>
          <w:sz w:val="16"/>
        </w:rPr>
        <w:t xml:space="preserve">Introduction to </w:t>
      </w:r>
      <w:r w:rsidR="00A1037E">
        <w:rPr>
          <w:rFonts w:asciiTheme="majorHAnsi" w:hAnsiTheme="majorHAnsi"/>
          <w:color w:val="231F20"/>
          <w:sz w:val="16"/>
        </w:rPr>
        <w:t xml:space="preserve">the </w:t>
      </w:r>
      <w:r w:rsidR="00FB68BF" w:rsidRPr="002E068A">
        <w:rPr>
          <w:rFonts w:asciiTheme="majorHAnsi" w:hAnsiTheme="majorHAnsi"/>
          <w:color w:val="231F20"/>
          <w:sz w:val="16"/>
        </w:rPr>
        <w:t>Conclusion</w:t>
      </w:r>
      <w:r w:rsidRPr="002E068A">
        <w:rPr>
          <w:rFonts w:asciiTheme="majorHAnsi" w:hAnsiTheme="majorHAnsi"/>
          <w:color w:val="231F20"/>
          <w:sz w:val="16"/>
        </w:rPr>
        <w:t xml:space="preserve">. </w:t>
      </w:r>
    </w:p>
    <w:p w14:paraId="25A0118D" w14:textId="77777777" w:rsidR="009926D8" w:rsidRPr="002E068A" w:rsidRDefault="009926D8" w:rsidP="000B334F">
      <w:pPr>
        <w:pStyle w:val="BodyText"/>
        <w:spacing w:line="276" w:lineRule="auto"/>
        <w:rPr>
          <w:rFonts w:asciiTheme="majorHAnsi" w:hAnsiTheme="majorHAnsi"/>
          <w:sz w:val="16"/>
        </w:rPr>
      </w:pPr>
    </w:p>
    <w:p w14:paraId="08CE218C" w14:textId="2FBEF2D6" w:rsidR="009926D8" w:rsidRPr="002E068A" w:rsidRDefault="009926D8" w:rsidP="000B334F">
      <w:pPr>
        <w:spacing w:line="276" w:lineRule="auto"/>
        <w:ind w:left="140"/>
        <w:rPr>
          <w:rFonts w:asciiTheme="majorHAnsi" w:hAnsiTheme="majorHAnsi"/>
          <w:b/>
          <w:sz w:val="16"/>
        </w:rPr>
      </w:pPr>
      <w:r w:rsidRPr="002E068A">
        <w:rPr>
          <w:rFonts w:asciiTheme="majorHAnsi" w:hAnsiTheme="majorHAnsi"/>
          <w:b/>
          <w:color w:val="231F20"/>
          <w:sz w:val="16"/>
        </w:rPr>
        <w:t>Ethics</w:t>
      </w:r>
      <w:r w:rsidRPr="002E068A">
        <w:rPr>
          <w:rFonts w:asciiTheme="majorHAnsi" w:hAnsiTheme="majorHAnsi"/>
          <w:b/>
          <w:color w:val="231F20"/>
          <w:spacing w:val="-2"/>
          <w:sz w:val="16"/>
        </w:rPr>
        <w:t xml:space="preserve"> </w:t>
      </w:r>
      <w:r w:rsidRPr="002E068A">
        <w:rPr>
          <w:rFonts w:asciiTheme="majorHAnsi" w:hAnsiTheme="majorHAnsi"/>
          <w:b/>
          <w:color w:val="231F20"/>
          <w:sz w:val="16"/>
        </w:rPr>
        <w:t xml:space="preserve">Approval and Consent to </w:t>
      </w:r>
      <w:r w:rsidRPr="002E068A">
        <w:rPr>
          <w:rFonts w:asciiTheme="majorHAnsi" w:hAnsiTheme="majorHAnsi"/>
          <w:b/>
          <w:color w:val="231F20"/>
          <w:spacing w:val="-2"/>
          <w:sz w:val="16"/>
        </w:rPr>
        <w:t>Participate</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66E9AABC" w14:textId="1414E5BE" w:rsidR="009926D8" w:rsidRPr="002E068A" w:rsidRDefault="009926D8"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w:t>
      </w:r>
      <w:r w:rsidR="000D1CA2" w:rsidRPr="002E068A">
        <w:rPr>
          <w:rFonts w:asciiTheme="majorHAnsi" w:hAnsiTheme="majorHAnsi"/>
          <w:color w:val="231F20"/>
          <w:sz w:val="16"/>
        </w:rPr>
        <w:t xml:space="preserve">contains </w:t>
      </w:r>
      <w:r w:rsidRPr="002E068A">
        <w:rPr>
          <w:rFonts w:asciiTheme="majorHAnsi" w:hAnsiTheme="majorHAnsi"/>
          <w:color w:val="231F20"/>
          <w:sz w:val="16"/>
        </w:rPr>
        <w:t xml:space="preserve">the </w:t>
      </w:r>
      <w:r w:rsidR="000D1CA2" w:rsidRPr="002E068A">
        <w:rPr>
          <w:rFonts w:asciiTheme="majorHAnsi" w:hAnsiTheme="majorHAnsi"/>
          <w:color w:val="231F20"/>
          <w:sz w:val="16"/>
        </w:rPr>
        <w:t xml:space="preserve">license obtained from </w:t>
      </w:r>
      <w:r w:rsidR="00FB68BF" w:rsidRPr="002E068A">
        <w:rPr>
          <w:rFonts w:asciiTheme="majorHAnsi" w:hAnsiTheme="majorHAnsi"/>
          <w:color w:val="231F20"/>
          <w:sz w:val="16"/>
        </w:rPr>
        <w:t>the</w:t>
      </w:r>
      <w:r w:rsidR="000D1CA2" w:rsidRPr="002E068A">
        <w:rPr>
          <w:rFonts w:asciiTheme="majorHAnsi" w:hAnsiTheme="majorHAnsi"/>
          <w:color w:val="231F20"/>
          <w:sz w:val="16"/>
        </w:rPr>
        <w:t xml:space="preserve"> institution and </w:t>
      </w:r>
      <w:r w:rsidRPr="002E068A">
        <w:rPr>
          <w:rFonts w:asciiTheme="majorHAnsi" w:hAnsiTheme="majorHAnsi"/>
          <w:color w:val="231F20"/>
          <w:sz w:val="16"/>
        </w:rPr>
        <w:t>re</w:t>
      </w:r>
      <w:r w:rsidR="000D1CA2" w:rsidRPr="002E068A">
        <w:rPr>
          <w:rFonts w:asciiTheme="majorHAnsi" w:hAnsiTheme="majorHAnsi"/>
          <w:color w:val="231F20"/>
          <w:sz w:val="16"/>
        </w:rPr>
        <w:t>search subject.</w:t>
      </w:r>
    </w:p>
    <w:p w14:paraId="19C20EF6" w14:textId="77777777" w:rsidR="00164916" w:rsidRPr="00B1704A" w:rsidRDefault="00164916" w:rsidP="000B334F">
      <w:pPr>
        <w:spacing w:line="276" w:lineRule="auto"/>
        <w:jc w:val="both"/>
        <w:rPr>
          <w:rFonts w:asciiTheme="majorHAnsi" w:hAnsiTheme="majorHAnsi"/>
          <w:sz w:val="16"/>
          <w:szCs w:val="16"/>
        </w:rPr>
      </w:pPr>
    </w:p>
    <w:p w14:paraId="44C4A45F" w14:textId="29B5BDC0" w:rsidR="009926D8" w:rsidRPr="002E068A" w:rsidRDefault="009926D8" w:rsidP="000B334F">
      <w:pPr>
        <w:spacing w:line="276" w:lineRule="auto"/>
        <w:ind w:left="140"/>
        <w:rPr>
          <w:rFonts w:asciiTheme="majorHAnsi" w:hAnsiTheme="majorHAnsi"/>
          <w:b/>
          <w:sz w:val="16"/>
        </w:rPr>
      </w:pPr>
      <w:r w:rsidRPr="002E068A">
        <w:rPr>
          <w:rFonts w:asciiTheme="majorHAnsi" w:hAnsiTheme="majorHAnsi"/>
          <w:b/>
          <w:color w:val="231F20"/>
          <w:sz w:val="16"/>
        </w:rPr>
        <w:t xml:space="preserve">Competing </w:t>
      </w:r>
      <w:r w:rsidRPr="002E068A">
        <w:rPr>
          <w:rFonts w:asciiTheme="majorHAnsi" w:hAnsiTheme="majorHAnsi"/>
          <w:b/>
          <w:color w:val="231F20"/>
          <w:spacing w:val="-2"/>
          <w:sz w:val="16"/>
        </w:rPr>
        <w:t>Interest</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78EA5EF7" w14:textId="2628AC5C" w:rsidR="009926D8" w:rsidRPr="002E068A" w:rsidRDefault="00FB68BF"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contains the statement whether the author(s) </w:t>
      </w:r>
      <w:r w:rsidR="00A1037E">
        <w:rPr>
          <w:rFonts w:asciiTheme="majorHAnsi" w:hAnsiTheme="majorHAnsi"/>
          <w:color w:val="231F20"/>
          <w:sz w:val="16"/>
        </w:rPr>
        <w:t>have interests</w:t>
      </w:r>
      <w:r w:rsidRPr="002E068A">
        <w:rPr>
          <w:rFonts w:asciiTheme="majorHAnsi" w:hAnsiTheme="majorHAnsi"/>
          <w:color w:val="231F20"/>
          <w:sz w:val="16"/>
        </w:rPr>
        <w:t xml:space="preserve"> in the research</w:t>
      </w:r>
      <w:r w:rsidR="009926D8" w:rsidRPr="002E068A">
        <w:rPr>
          <w:rFonts w:asciiTheme="majorHAnsi" w:hAnsiTheme="majorHAnsi"/>
          <w:color w:val="231F20"/>
          <w:sz w:val="16"/>
        </w:rPr>
        <w:t>.</w:t>
      </w:r>
    </w:p>
    <w:p w14:paraId="024E868A" w14:textId="77777777" w:rsidR="0048573C" w:rsidRPr="00B1704A" w:rsidRDefault="0048573C" w:rsidP="000B334F">
      <w:pPr>
        <w:spacing w:line="276" w:lineRule="auto"/>
        <w:jc w:val="both"/>
        <w:rPr>
          <w:rFonts w:asciiTheme="majorHAnsi" w:hAnsiTheme="majorHAnsi"/>
          <w:sz w:val="16"/>
          <w:szCs w:val="16"/>
        </w:rPr>
      </w:pPr>
    </w:p>
    <w:p w14:paraId="198C1B86" w14:textId="1308BDB5" w:rsidR="0048573C" w:rsidRPr="002E068A" w:rsidRDefault="0048573C" w:rsidP="000B334F">
      <w:pPr>
        <w:spacing w:line="276" w:lineRule="auto"/>
        <w:ind w:left="140"/>
        <w:rPr>
          <w:rFonts w:asciiTheme="majorHAnsi" w:hAnsiTheme="majorHAnsi"/>
          <w:b/>
          <w:sz w:val="16"/>
        </w:rPr>
      </w:pPr>
      <w:r w:rsidRPr="002E068A">
        <w:rPr>
          <w:rFonts w:asciiTheme="majorHAnsi" w:hAnsiTheme="majorHAnsi"/>
          <w:b/>
          <w:color w:val="231F20"/>
          <w:sz w:val="16"/>
        </w:rPr>
        <w:t xml:space="preserve">Availability of Data and </w:t>
      </w:r>
      <w:r w:rsidRPr="002E068A">
        <w:rPr>
          <w:rFonts w:asciiTheme="majorHAnsi" w:hAnsiTheme="majorHAnsi"/>
          <w:b/>
          <w:color w:val="231F20"/>
          <w:spacing w:val="-2"/>
          <w:sz w:val="16"/>
        </w:rPr>
        <w:t>Materials</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2F08B0C9" w14:textId="2F51D350" w:rsidR="0048573C" w:rsidRPr="002E068A" w:rsidRDefault="00FB68BF"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It is to clarify the data sources or information used as research materials</w:t>
      </w:r>
      <w:r w:rsidR="00A1037E">
        <w:rPr>
          <w:rFonts w:asciiTheme="majorHAnsi" w:hAnsiTheme="majorHAnsi"/>
          <w:color w:val="231F20"/>
          <w:sz w:val="16"/>
        </w:rPr>
        <w:t>,</w:t>
      </w:r>
      <w:r w:rsidR="00E34740" w:rsidRPr="002E068A">
        <w:rPr>
          <w:rFonts w:asciiTheme="majorHAnsi" w:hAnsiTheme="majorHAnsi"/>
          <w:color w:val="231F20"/>
          <w:sz w:val="16"/>
        </w:rPr>
        <w:t xml:space="preserve"> including the Supplementary File that </w:t>
      </w:r>
      <w:r w:rsidR="00A1037E">
        <w:rPr>
          <w:rFonts w:asciiTheme="majorHAnsi" w:hAnsiTheme="majorHAnsi"/>
          <w:color w:val="231F20"/>
          <w:sz w:val="16"/>
        </w:rPr>
        <w:t>the public can access</w:t>
      </w:r>
      <w:r w:rsidR="00E34740" w:rsidRPr="002E068A">
        <w:rPr>
          <w:rFonts w:asciiTheme="majorHAnsi" w:hAnsiTheme="majorHAnsi"/>
          <w:color w:val="231F20"/>
          <w:sz w:val="16"/>
        </w:rPr>
        <w:t xml:space="preserve"> for additional information o</w:t>
      </w:r>
      <w:r w:rsidR="00A1037E">
        <w:rPr>
          <w:rFonts w:asciiTheme="majorHAnsi" w:hAnsiTheme="majorHAnsi"/>
          <w:color w:val="231F20"/>
          <w:sz w:val="16"/>
        </w:rPr>
        <w:t>n</w:t>
      </w:r>
      <w:r w:rsidR="00E34740" w:rsidRPr="002E068A">
        <w:rPr>
          <w:rFonts w:asciiTheme="majorHAnsi" w:hAnsiTheme="majorHAnsi"/>
          <w:color w:val="231F20"/>
          <w:sz w:val="16"/>
        </w:rPr>
        <w:t xml:space="preserve"> the datasets used for the research </w:t>
      </w:r>
      <w:r w:rsidR="00713277" w:rsidRPr="002E068A">
        <w:rPr>
          <w:rFonts w:asciiTheme="majorHAnsi" w:hAnsiTheme="majorHAnsi"/>
          <w:color w:val="231F20"/>
          <w:sz w:val="16"/>
        </w:rPr>
        <w:t xml:space="preserve">or the research </w:t>
      </w:r>
      <w:r w:rsidR="00E34740" w:rsidRPr="002E068A">
        <w:rPr>
          <w:rFonts w:asciiTheme="majorHAnsi" w:hAnsiTheme="majorHAnsi"/>
          <w:color w:val="231F20"/>
          <w:sz w:val="16"/>
        </w:rPr>
        <w:t>finding</w:t>
      </w:r>
      <w:r w:rsidR="00A1037E">
        <w:rPr>
          <w:rFonts w:asciiTheme="majorHAnsi" w:hAnsiTheme="majorHAnsi"/>
          <w:color w:val="231F20"/>
          <w:sz w:val="16"/>
        </w:rPr>
        <w:t>s</w:t>
      </w:r>
      <w:r w:rsidR="00E34740" w:rsidRPr="002E068A">
        <w:rPr>
          <w:rFonts w:asciiTheme="majorHAnsi" w:hAnsiTheme="majorHAnsi"/>
          <w:color w:val="231F20"/>
          <w:sz w:val="16"/>
        </w:rPr>
        <w:t>.</w:t>
      </w:r>
    </w:p>
    <w:p w14:paraId="7B72D5F9" w14:textId="77777777" w:rsidR="0048573C" w:rsidRPr="002E068A" w:rsidRDefault="0048573C" w:rsidP="000B334F">
      <w:pPr>
        <w:pStyle w:val="BodyText"/>
        <w:spacing w:line="276" w:lineRule="auto"/>
        <w:rPr>
          <w:rFonts w:asciiTheme="majorHAnsi" w:hAnsiTheme="majorHAnsi"/>
          <w:sz w:val="16"/>
        </w:rPr>
      </w:pPr>
    </w:p>
    <w:p w14:paraId="7F87B22E" w14:textId="4B756766" w:rsidR="0048573C" w:rsidRPr="002E068A" w:rsidRDefault="0048573C" w:rsidP="000B334F">
      <w:pPr>
        <w:spacing w:line="276" w:lineRule="auto"/>
        <w:ind w:left="140"/>
        <w:rPr>
          <w:rFonts w:asciiTheme="majorHAnsi" w:hAnsiTheme="majorHAnsi"/>
          <w:b/>
          <w:sz w:val="16"/>
        </w:rPr>
      </w:pPr>
      <w:r w:rsidRPr="002E068A">
        <w:rPr>
          <w:rFonts w:asciiTheme="majorHAnsi" w:hAnsiTheme="majorHAnsi"/>
          <w:b/>
          <w:color w:val="231F20"/>
          <w:sz w:val="16"/>
        </w:rPr>
        <w:t xml:space="preserve">Authors’ </w:t>
      </w:r>
      <w:r w:rsidRPr="002E068A">
        <w:rPr>
          <w:rFonts w:asciiTheme="majorHAnsi" w:hAnsiTheme="majorHAnsi"/>
          <w:b/>
          <w:color w:val="231F20"/>
          <w:spacing w:val="-2"/>
          <w:sz w:val="16"/>
        </w:rPr>
        <w:t>Contribution</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1C29261B" w14:textId="48062855" w:rsidR="0048573C" w:rsidRPr="002E068A" w:rsidRDefault="00FB68BF" w:rsidP="000B334F">
      <w:pPr>
        <w:spacing w:line="276" w:lineRule="auto"/>
        <w:ind w:left="140" w:right="128"/>
        <w:jc w:val="both"/>
        <w:rPr>
          <w:rFonts w:asciiTheme="majorHAnsi" w:hAnsiTheme="majorHAnsi"/>
          <w:sz w:val="16"/>
        </w:rPr>
      </w:pPr>
      <w:r w:rsidRPr="002E068A">
        <w:rPr>
          <w:rFonts w:asciiTheme="majorHAnsi" w:hAnsiTheme="majorHAnsi"/>
          <w:color w:val="231F20"/>
          <w:sz w:val="16"/>
        </w:rPr>
        <w:t xml:space="preserve">It is to explain the contribution made by each author(s) </w:t>
      </w:r>
      <w:r w:rsidR="00A1037E">
        <w:rPr>
          <w:rFonts w:asciiTheme="majorHAnsi" w:hAnsiTheme="majorHAnsi"/>
          <w:color w:val="231F20"/>
          <w:sz w:val="16"/>
        </w:rPr>
        <w:t>to</w:t>
      </w:r>
      <w:r w:rsidRPr="002E068A">
        <w:rPr>
          <w:rFonts w:asciiTheme="majorHAnsi" w:hAnsiTheme="majorHAnsi"/>
          <w:color w:val="231F20"/>
          <w:sz w:val="16"/>
        </w:rPr>
        <w:t xml:space="preserve"> the research. The name of the author(s) should be abbreviated.</w:t>
      </w:r>
    </w:p>
    <w:p w14:paraId="70E82705" w14:textId="77777777" w:rsidR="00FB68BF" w:rsidRPr="002E068A" w:rsidRDefault="00FB68BF" w:rsidP="000B334F">
      <w:pPr>
        <w:spacing w:line="276" w:lineRule="auto"/>
        <w:ind w:right="128"/>
        <w:jc w:val="both"/>
        <w:rPr>
          <w:rFonts w:asciiTheme="majorHAnsi" w:hAnsiTheme="majorHAnsi"/>
          <w:sz w:val="16"/>
        </w:rPr>
      </w:pPr>
    </w:p>
    <w:p w14:paraId="6177CC50" w14:textId="6461F63E" w:rsidR="00FB68BF" w:rsidRPr="002E068A" w:rsidRDefault="00FB68BF" w:rsidP="000B334F">
      <w:pPr>
        <w:spacing w:line="276" w:lineRule="auto"/>
        <w:ind w:left="140"/>
        <w:rPr>
          <w:rFonts w:asciiTheme="majorHAnsi" w:hAnsiTheme="majorHAnsi"/>
          <w:b/>
          <w:sz w:val="16"/>
        </w:rPr>
      </w:pPr>
      <w:r w:rsidRPr="002E068A">
        <w:rPr>
          <w:rFonts w:asciiTheme="majorHAnsi" w:hAnsiTheme="majorHAnsi"/>
          <w:b/>
          <w:color w:val="231F20"/>
          <w:spacing w:val="-2"/>
          <w:sz w:val="16"/>
        </w:rPr>
        <w:lastRenderedPageBreak/>
        <w:t>Acknowledgment</w:t>
      </w:r>
      <w:r w:rsidR="00A1037E">
        <w:rPr>
          <w:rFonts w:asciiTheme="majorHAnsi" w:hAnsiTheme="majorHAnsi"/>
          <w:b/>
          <w:color w:val="231F20"/>
          <w:spacing w:val="-2"/>
          <w:sz w:val="16"/>
        </w:rPr>
        <w:t xml:space="preserve"> </w:t>
      </w:r>
      <w:r w:rsidR="00A1037E" w:rsidRPr="00A1037E">
        <w:rPr>
          <w:rFonts w:asciiTheme="majorHAnsi" w:hAnsiTheme="majorHAnsi"/>
          <w:color w:val="231F20"/>
          <w:sz w:val="16"/>
          <w:highlight w:val="darkGray"/>
        </w:rPr>
        <w:t>(Cambria, 8pt, 1.15 space)</w:t>
      </w:r>
    </w:p>
    <w:p w14:paraId="4BE6027C" w14:textId="73A4592D" w:rsidR="00FB68BF" w:rsidRDefault="00FB68BF" w:rsidP="000B334F">
      <w:pPr>
        <w:spacing w:line="276" w:lineRule="auto"/>
        <w:ind w:left="140" w:right="128"/>
        <w:jc w:val="both"/>
        <w:rPr>
          <w:rFonts w:asciiTheme="majorHAnsi" w:hAnsiTheme="majorHAnsi"/>
          <w:color w:val="231F20"/>
          <w:sz w:val="16"/>
        </w:rPr>
      </w:pPr>
      <w:r w:rsidRPr="002E068A">
        <w:rPr>
          <w:rFonts w:asciiTheme="majorHAnsi" w:hAnsiTheme="majorHAnsi"/>
          <w:color w:val="231F20"/>
          <w:sz w:val="16"/>
        </w:rPr>
        <w:t>It mentions thank-you notes to all components supporting the research, including funding (grant).</w:t>
      </w:r>
    </w:p>
    <w:p w14:paraId="4F445286" w14:textId="77777777" w:rsidR="000112F3" w:rsidRDefault="000112F3" w:rsidP="000B334F">
      <w:pPr>
        <w:spacing w:line="276" w:lineRule="auto"/>
        <w:ind w:left="140" w:right="128"/>
        <w:jc w:val="both"/>
        <w:rPr>
          <w:rFonts w:asciiTheme="majorHAnsi" w:hAnsiTheme="majorHAnsi"/>
          <w:color w:val="231F20"/>
          <w:sz w:val="16"/>
        </w:rPr>
      </w:pPr>
    </w:p>
    <w:p w14:paraId="32CDACAE" w14:textId="6C8313BB" w:rsidR="000112F3" w:rsidRDefault="000112F3" w:rsidP="000B334F">
      <w:pPr>
        <w:spacing w:line="276" w:lineRule="auto"/>
        <w:ind w:left="140" w:right="128"/>
        <w:jc w:val="both"/>
        <w:rPr>
          <w:rFonts w:asciiTheme="majorHAnsi" w:hAnsiTheme="majorHAnsi"/>
          <w:color w:val="231F20"/>
          <w:sz w:val="16"/>
        </w:rPr>
      </w:pPr>
      <w:r>
        <w:rPr>
          <w:rFonts w:asciiTheme="majorHAnsi" w:hAnsiTheme="majorHAnsi"/>
          <w:b/>
          <w:bCs/>
          <w:color w:val="231F20"/>
          <w:sz w:val="16"/>
        </w:rPr>
        <w:t xml:space="preserve">References </w:t>
      </w:r>
      <w:r w:rsidRPr="000112F3">
        <w:rPr>
          <w:rFonts w:asciiTheme="majorHAnsi" w:hAnsiTheme="majorHAnsi"/>
          <w:color w:val="231F20"/>
          <w:sz w:val="16"/>
          <w:highlight w:val="darkGray"/>
        </w:rPr>
        <w:t>(Cambria, 8pt, 1.15 space)</w:t>
      </w:r>
    </w:p>
    <w:p w14:paraId="43A21D87" w14:textId="77777777" w:rsidR="000866C6" w:rsidRPr="002E068A" w:rsidRDefault="000866C6" w:rsidP="000866C6">
      <w:pPr>
        <w:pStyle w:val="Heading1"/>
        <w:spacing w:line="276" w:lineRule="auto"/>
        <w:ind w:left="140"/>
        <w:rPr>
          <w:rFonts w:asciiTheme="majorHAnsi" w:hAnsiTheme="majorHAnsi"/>
          <w:b w:val="0"/>
          <w:bCs w:val="0"/>
          <w:color w:val="231F20"/>
          <w:sz w:val="16"/>
        </w:rPr>
      </w:pPr>
      <w:r w:rsidRPr="002E068A">
        <w:rPr>
          <w:rFonts w:asciiTheme="majorHAnsi" w:hAnsiTheme="majorHAnsi"/>
          <w:b w:val="0"/>
          <w:bCs w:val="0"/>
          <w:color w:val="231F20"/>
          <w:sz w:val="16"/>
        </w:rPr>
        <w:t>Reference should be written in Vancouver style and numbered consecutively from the first shown reference on the paper. Please note that:</w:t>
      </w:r>
    </w:p>
    <w:p w14:paraId="3D53AFA4"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 xml:space="preserve">When referencing in the body of text, write the number only, no brackets, and use superscript after a full stop (.), e.g.: </w:t>
      </w:r>
      <w:proofErr w:type="gramStart"/>
      <w:r w:rsidRPr="002E068A">
        <w:rPr>
          <w:rFonts w:asciiTheme="majorHAnsi" w:hAnsiTheme="majorHAnsi" w:cs="Arial"/>
          <w:color w:val="000000"/>
          <w:sz w:val="16"/>
          <w:szCs w:val="16"/>
        </w:rPr>
        <w:t>.....</w:t>
      </w:r>
      <w:proofErr w:type="gramEnd"/>
      <w:r w:rsidRPr="002E068A">
        <w:rPr>
          <w:rFonts w:asciiTheme="majorHAnsi" w:hAnsiTheme="majorHAnsi" w:cs="Arial"/>
          <w:color w:val="000000"/>
          <w:sz w:val="16"/>
          <w:szCs w:val="16"/>
        </w:rPr>
        <w:t xml:space="preserve"> .</w:t>
      </w:r>
      <w:r w:rsidRPr="002E068A">
        <w:rPr>
          <w:rFonts w:asciiTheme="majorHAnsi" w:hAnsiTheme="majorHAnsi" w:cs="Arial"/>
          <w:color w:val="000000"/>
          <w:sz w:val="16"/>
          <w:szCs w:val="16"/>
          <w:vertAlign w:val="superscript"/>
        </w:rPr>
        <w:t>10</w:t>
      </w:r>
    </w:p>
    <w:p w14:paraId="4E85FA1F"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Please ensure that every reference cited in the text is also present in the reference list (and vice versa).</w:t>
      </w:r>
    </w:p>
    <w:p w14:paraId="04D96569"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b/>
          <w:bCs/>
          <w:color w:val="000000"/>
          <w:sz w:val="16"/>
          <w:szCs w:val="16"/>
        </w:rPr>
        <w:t>Reference numbers must be numbered consecutively</w:t>
      </w:r>
      <w:r w:rsidRPr="002E068A">
        <w:rPr>
          <w:rFonts w:asciiTheme="majorHAnsi" w:hAnsiTheme="majorHAnsi" w:cs="Arial"/>
          <w:color w:val="000000"/>
          <w:sz w:val="16"/>
          <w:szCs w:val="16"/>
        </w:rPr>
        <w:t xml:space="preserve"> in accordance with the whole text, and recent journal references (ten years back) are preferred.</w:t>
      </w:r>
      <w:r w:rsidRPr="002E068A">
        <w:rPr>
          <w:rFonts w:asciiTheme="majorHAnsi" w:hAnsiTheme="majorHAnsi" w:cs="Calibri"/>
          <w:color w:val="000000"/>
          <w:sz w:val="16"/>
          <w:szCs w:val="16"/>
        </w:rPr>
        <w:t> </w:t>
      </w:r>
    </w:p>
    <w:p w14:paraId="23142112"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 xml:space="preserve">Please write the author's name with the last name first and the first name as initials, with a </w:t>
      </w:r>
      <w:r w:rsidRPr="002E068A">
        <w:rPr>
          <w:rFonts w:asciiTheme="majorHAnsi" w:hAnsiTheme="majorHAnsi" w:cs="Arial"/>
          <w:b/>
          <w:bCs/>
          <w:color w:val="000000"/>
          <w:sz w:val="16"/>
          <w:szCs w:val="16"/>
        </w:rPr>
        <w:t>maximum of 3 (three) authors' names</w:t>
      </w:r>
      <w:r w:rsidRPr="002E068A">
        <w:rPr>
          <w:rFonts w:asciiTheme="majorHAnsi" w:hAnsiTheme="majorHAnsi" w:cs="Arial"/>
          <w:color w:val="000000"/>
          <w:sz w:val="16"/>
          <w:szCs w:val="16"/>
        </w:rPr>
        <w:t>. If there are more than 3 (three) authors, the following author should be written with "et al."</w:t>
      </w:r>
    </w:p>
    <w:p w14:paraId="564584A8"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The first letter of the reference title should be capitalized, and the remaining should be written in lowercase letters, except the name of the person, place, time, and a word after the colon “:”. Latin terms should be written in italics. The title should not be underlined and written in bold.</w:t>
      </w:r>
      <w:r w:rsidRPr="002E068A">
        <w:rPr>
          <w:rFonts w:asciiTheme="majorHAnsi" w:hAnsiTheme="majorHAnsi" w:cs="Calibri"/>
          <w:color w:val="000000"/>
          <w:sz w:val="16"/>
          <w:szCs w:val="16"/>
        </w:rPr>
        <w:t> </w:t>
      </w:r>
    </w:p>
    <w:p w14:paraId="43FF080F"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b/>
          <w:bCs/>
          <w:color w:val="000000"/>
          <w:sz w:val="16"/>
          <w:szCs w:val="16"/>
        </w:rPr>
        <w:t>Please provide the DOI number and URL for each source.</w:t>
      </w:r>
    </w:p>
    <w:p w14:paraId="29E4F7ED"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b/>
          <w:bCs/>
          <w:color w:val="000000"/>
          <w:sz w:val="16"/>
          <w:szCs w:val="16"/>
        </w:rPr>
        <w:t>Reference should not exceed 40 sources.</w:t>
      </w:r>
    </w:p>
    <w:p w14:paraId="5007F5B8" w14:textId="77777777" w:rsidR="000866C6" w:rsidRPr="002E068A" w:rsidRDefault="000866C6" w:rsidP="000866C6">
      <w:pPr>
        <w:pStyle w:val="NormalWeb"/>
        <w:numPr>
          <w:ilvl w:val="0"/>
          <w:numId w:val="2"/>
        </w:numPr>
        <w:spacing w:before="0" w:beforeAutospacing="0" w:after="0" w:afterAutospacing="0" w:line="276" w:lineRule="auto"/>
        <w:ind w:left="540"/>
        <w:jc w:val="both"/>
        <w:textAlignment w:val="baseline"/>
        <w:rPr>
          <w:rFonts w:asciiTheme="majorHAnsi" w:hAnsiTheme="majorHAnsi" w:cs="Arial"/>
          <w:color w:val="000000"/>
          <w:sz w:val="16"/>
          <w:szCs w:val="16"/>
        </w:rPr>
      </w:pPr>
      <w:r w:rsidRPr="002E068A">
        <w:rPr>
          <w:rFonts w:asciiTheme="majorHAnsi" w:hAnsiTheme="majorHAnsi" w:cs="Arial"/>
          <w:color w:val="000000"/>
          <w:sz w:val="16"/>
          <w:szCs w:val="16"/>
        </w:rPr>
        <w:t>Example of References:</w:t>
      </w:r>
      <w:r w:rsidRPr="002E068A">
        <w:rPr>
          <w:rFonts w:asciiTheme="majorHAnsi" w:hAnsiTheme="majorHAnsi" w:cs="Calibri"/>
          <w:color w:val="000000"/>
          <w:sz w:val="16"/>
          <w:szCs w:val="16"/>
        </w:rPr>
        <w:t> </w:t>
      </w:r>
    </w:p>
    <w:p w14:paraId="5C6A7DA4"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Journal:</w:t>
      </w:r>
    </w:p>
    <w:p w14:paraId="7C62E8B2" w14:textId="77777777" w:rsidR="000866C6" w:rsidRPr="002E068A" w:rsidRDefault="000866C6" w:rsidP="000866C6">
      <w:pPr>
        <w:pStyle w:val="NormalWeb"/>
        <w:spacing w:before="0" w:beforeAutospacing="0" w:after="0" w:afterAutospacing="0" w:line="276" w:lineRule="auto"/>
        <w:ind w:left="810"/>
        <w:jc w:val="both"/>
        <w:rPr>
          <w:rFonts w:asciiTheme="majorHAnsi" w:hAnsiTheme="majorHAnsi"/>
          <w:sz w:val="16"/>
          <w:szCs w:val="16"/>
        </w:rPr>
      </w:pPr>
      <w:proofErr w:type="spellStart"/>
      <w:r w:rsidRPr="002E068A">
        <w:rPr>
          <w:rFonts w:asciiTheme="majorHAnsi" w:hAnsiTheme="majorHAnsi" w:cs="Arial"/>
          <w:color w:val="000000"/>
          <w:sz w:val="16"/>
          <w:szCs w:val="16"/>
        </w:rPr>
        <w:t>Ariawan</w:t>
      </w:r>
      <w:proofErr w:type="spellEnd"/>
      <w:r w:rsidRPr="002E068A">
        <w:rPr>
          <w:rFonts w:asciiTheme="majorHAnsi" w:hAnsiTheme="majorHAnsi" w:cs="Arial"/>
          <w:color w:val="000000"/>
          <w:sz w:val="16"/>
          <w:szCs w:val="16"/>
        </w:rPr>
        <w:t xml:space="preserve"> I, </w:t>
      </w:r>
      <w:proofErr w:type="spellStart"/>
      <w:r w:rsidRPr="002E068A">
        <w:rPr>
          <w:rFonts w:asciiTheme="majorHAnsi" w:hAnsiTheme="majorHAnsi" w:cs="Arial"/>
          <w:color w:val="000000"/>
          <w:sz w:val="16"/>
          <w:szCs w:val="16"/>
        </w:rPr>
        <w:t>Jusril</w:t>
      </w:r>
      <w:proofErr w:type="spellEnd"/>
      <w:r w:rsidRPr="002E068A">
        <w:rPr>
          <w:rFonts w:asciiTheme="majorHAnsi" w:hAnsiTheme="majorHAnsi" w:cs="Arial"/>
          <w:color w:val="000000"/>
          <w:sz w:val="16"/>
          <w:szCs w:val="16"/>
        </w:rPr>
        <w:t xml:space="preserve"> H, Farid MN, et al. SARS-CoV-2 Antibody Seroprevalence in Jakarta, Indonesia. Kesmas. 2022; 17 (3): 169-174. DOI: 10.21109/</w:t>
      </w:r>
      <w:proofErr w:type="gramStart"/>
      <w:r w:rsidRPr="002E068A">
        <w:rPr>
          <w:rFonts w:asciiTheme="majorHAnsi" w:hAnsiTheme="majorHAnsi" w:cs="Arial"/>
          <w:color w:val="000000"/>
          <w:sz w:val="16"/>
          <w:szCs w:val="16"/>
        </w:rPr>
        <w:t>kesmas.v</w:t>
      </w:r>
      <w:proofErr w:type="gramEnd"/>
      <w:r w:rsidRPr="002E068A">
        <w:rPr>
          <w:rFonts w:asciiTheme="majorHAnsi" w:hAnsiTheme="majorHAnsi" w:cs="Arial"/>
          <w:color w:val="000000"/>
          <w:sz w:val="16"/>
          <w:szCs w:val="16"/>
        </w:rPr>
        <w:t>17i3.6070. Available from: https://journal.fkm.ui.ac.id/kesmas/article/view/6070</w:t>
      </w:r>
    </w:p>
    <w:p w14:paraId="7985F8FC"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Book:</w:t>
      </w:r>
    </w:p>
    <w:p w14:paraId="23ADD35C" w14:textId="77777777" w:rsidR="000866C6" w:rsidRPr="002E068A" w:rsidRDefault="000866C6" w:rsidP="000866C6">
      <w:pPr>
        <w:pStyle w:val="NormalWeb"/>
        <w:spacing w:before="0" w:beforeAutospacing="0" w:after="0" w:afterAutospacing="0" w:line="276" w:lineRule="auto"/>
        <w:ind w:left="720" w:firstLine="90"/>
        <w:jc w:val="both"/>
        <w:rPr>
          <w:rFonts w:asciiTheme="majorHAnsi" w:hAnsiTheme="majorHAnsi"/>
          <w:sz w:val="16"/>
          <w:szCs w:val="16"/>
        </w:rPr>
      </w:pPr>
      <w:r w:rsidRPr="002E068A">
        <w:rPr>
          <w:rFonts w:asciiTheme="majorHAnsi" w:hAnsiTheme="majorHAnsi" w:cs="Arial"/>
          <w:color w:val="000000"/>
          <w:sz w:val="16"/>
          <w:szCs w:val="16"/>
        </w:rPr>
        <w:t>Murray PR, Rosenthal KS, Kobayashi GS, Pfaller MA. Medical microbiology. 4th ed. St. Louis: Mosby; 2002.</w:t>
      </w:r>
    </w:p>
    <w:p w14:paraId="5E9234FB"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Online Article:</w:t>
      </w:r>
    </w:p>
    <w:p w14:paraId="2A0762BE" w14:textId="77777777" w:rsidR="000866C6" w:rsidRPr="002E068A" w:rsidRDefault="000866C6" w:rsidP="000866C6">
      <w:pPr>
        <w:pStyle w:val="NormalWeb"/>
        <w:spacing w:before="0" w:beforeAutospacing="0" w:after="0" w:afterAutospacing="0" w:line="276" w:lineRule="auto"/>
        <w:ind w:left="810"/>
        <w:jc w:val="both"/>
        <w:rPr>
          <w:rFonts w:asciiTheme="majorHAnsi" w:hAnsiTheme="majorHAnsi"/>
          <w:sz w:val="16"/>
          <w:szCs w:val="16"/>
        </w:rPr>
      </w:pPr>
      <w:r w:rsidRPr="002E068A">
        <w:rPr>
          <w:rFonts w:asciiTheme="majorHAnsi" w:hAnsiTheme="majorHAnsi" w:cs="Arial"/>
          <w:color w:val="000000"/>
          <w:sz w:val="16"/>
          <w:szCs w:val="16"/>
        </w:rPr>
        <w:t xml:space="preserve">World Health Organization. WHO highlights high cost of physical inactivity in first-ever global report. Geneva: World Health Organization; 2022. Available from: </w:t>
      </w:r>
      <w:hyperlink r:id="rId12" w:history="1">
        <w:r w:rsidRPr="002E068A">
          <w:rPr>
            <w:rStyle w:val="Hyperlink"/>
            <w:rFonts w:asciiTheme="majorHAnsi" w:hAnsiTheme="majorHAnsi" w:cs="Arial"/>
            <w:color w:val="000000"/>
            <w:sz w:val="16"/>
            <w:szCs w:val="16"/>
          </w:rPr>
          <w:t>https://www.who.int/news/item/19-10-2022-who-highlights-high-cost-of-physical-inactivity-in-first-ever-global-report</w:t>
        </w:r>
      </w:hyperlink>
    </w:p>
    <w:p w14:paraId="7863D987" w14:textId="77777777" w:rsidR="000866C6" w:rsidRPr="002E068A" w:rsidRDefault="000866C6" w:rsidP="000866C6">
      <w:pPr>
        <w:pStyle w:val="NormalWeb"/>
        <w:spacing w:before="0" w:beforeAutospacing="0" w:after="0" w:afterAutospacing="0" w:line="276" w:lineRule="auto"/>
        <w:ind w:left="720" w:hanging="180"/>
        <w:jc w:val="both"/>
        <w:rPr>
          <w:rFonts w:asciiTheme="majorHAnsi" w:hAnsiTheme="majorHAnsi"/>
          <w:sz w:val="16"/>
          <w:szCs w:val="16"/>
        </w:rPr>
      </w:pPr>
      <w:r w:rsidRPr="002E068A">
        <w:rPr>
          <w:rFonts w:asciiTheme="majorHAnsi" w:hAnsiTheme="majorHAnsi" w:cs="Arial"/>
          <w:b/>
          <w:bCs/>
          <w:color w:val="000000"/>
          <w:sz w:val="16"/>
          <w:szCs w:val="16"/>
        </w:rPr>
        <w:t>Thesis and Dissertation:</w:t>
      </w:r>
    </w:p>
    <w:p w14:paraId="299D0D53" w14:textId="77777777" w:rsidR="000866C6" w:rsidRDefault="000866C6" w:rsidP="000866C6">
      <w:pPr>
        <w:pStyle w:val="NormalWeb"/>
        <w:spacing w:before="0" w:beforeAutospacing="0" w:after="0" w:afterAutospacing="0" w:line="276" w:lineRule="auto"/>
        <w:ind w:left="810"/>
        <w:jc w:val="both"/>
        <w:rPr>
          <w:rFonts w:asciiTheme="majorHAnsi" w:hAnsiTheme="majorHAnsi" w:cs="Arial"/>
          <w:color w:val="000000"/>
          <w:sz w:val="16"/>
          <w:szCs w:val="16"/>
        </w:rPr>
      </w:pPr>
      <w:proofErr w:type="spellStart"/>
      <w:r w:rsidRPr="002E068A">
        <w:rPr>
          <w:rFonts w:asciiTheme="majorHAnsi" w:hAnsiTheme="majorHAnsi" w:cs="Arial"/>
          <w:color w:val="000000"/>
          <w:sz w:val="16"/>
          <w:szCs w:val="16"/>
        </w:rPr>
        <w:t>Rahmiwati</w:t>
      </w:r>
      <w:proofErr w:type="spellEnd"/>
      <w:r w:rsidRPr="002E068A">
        <w:rPr>
          <w:rFonts w:asciiTheme="majorHAnsi" w:hAnsiTheme="majorHAnsi" w:cs="Arial"/>
          <w:color w:val="000000"/>
          <w:sz w:val="16"/>
          <w:szCs w:val="16"/>
        </w:rPr>
        <w:t xml:space="preserve"> A. </w:t>
      </w:r>
      <w:proofErr w:type="spellStart"/>
      <w:r w:rsidRPr="002E068A">
        <w:rPr>
          <w:rFonts w:asciiTheme="majorHAnsi" w:hAnsiTheme="majorHAnsi" w:cs="Arial"/>
          <w:color w:val="000000"/>
          <w:sz w:val="16"/>
          <w:szCs w:val="16"/>
        </w:rPr>
        <w:t>Intervensi</w:t>
      </w:r>
      <w:proofErr w:type="spellEnd"/>
      <w:r w:rsidRPr="002E068A">
        <w:rPr>
          <w:rFonts w:asciiTheme="majorHAnsi" w:hAnsiTheme="majorHAnsi" w:cs="Arial"/>
          <w:color w:val="000000"/>
          <w:sz w:val="16"/>
          <w:szCs w:val="16"/>
        </w:rPr>
        <w:t xml:space="preserve"> Pendidikan Gizi </w:t>
      </w:r>
      <w:proofErr w:type="spellStart"/>
      <w:r w:rsidRPr="002E068A">
        <w:rPr>
          <w:rFonts w:asciiTheme="majorHAnsi" w:hAnsiTheme="majorHAnsi" w:cs="Arial"/>
          <w:color w:val="000000"/>
          <w:sz w:val="16"/>
          <w:szCs w:val="16"/>
        </w:rPr>
        <w:t>Berbasis</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Budaya</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Lokal</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Terhadap</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Kepatuhan</w:t>
      </w:r>
      <w:proofErr w:type="spellEnd"/>
      <w:r w:rsidRPr="002E068A">
        <w:rPr>
          <w:rFonts w:asciiTheme="majorHAnsi" w:hAnsiTheme="majorHAnsi" w:cs="Arial"/>
          <w:color w:val="000000"/>
          <w:sz w:val="16"/>
          <w:szCs w:val="16"/>
        </w:rPr>
        <w:t xml:space="preserve"> </w:t>
      </w:r>
      <w:proofErr w:type="spellStart"/>
      <w:r w:rsidRPr="002E068A">
        <w:rPr>
          <w:rFonts w:asciiTheme="majorHAnsi" w:hAnsiTheme="majorHAnsi" w:cs="Arial"/>
          <w:color w:val="000000"/>
          <w:sz w:val="16"/>
          <w:szCs w:val="16"/>
        </w:rPr>
        <w:t>Konsumsi</w:t>
      </w:r>
      <w:proofErr w:type="spellEnd"/>
      <w:r w:rsidRPr="002E068A">
        <w:rPr>
          <w:rFonts w:asciiTheme="majorHAnsi" w:hAnsiTheme="majorHAnsi" w:cs="Arial"/>
          <w:color w:val="000000"/>
          <w:sz w:val="16"/>
          <w:szCs w:val="16"/>
        </w:rPr>
        <w:t xml:space="preserve"> Tablet </w:t>
      </w:r>
      <w:proofErr w:type="spellStart"/>
      <w:r w:rsidRPr="002E068A">
        <w:rPr>
          <w:rFonts w:asciiTheme="majorHAnsi" w:hAnsiTheme="majorHAnsi" w:cs="Arial"/>
          <w:color w:val="000000"/>
          <w:sz w:val="16"/>
          <w:szCs w:val="16"/>
        </w:rPr>
        <w:t>Tambah</w:t>
      </w:r>
      <w:proofErr w:type="spellEnd"/>
      <w:r w:rsidRPr="002E068A">
        <w:rPr>
          <w:rFonts w:asciiTheme="majorHAnsi" w:hAnsiTheme="majorHAnsi" w:cs="Arial"/>
          <w:color w:val="000000"/>
          <w:sz w:val="16"/>
          <w:szCs w:val="16"/>
        </w:rPr>
        <w:t xml:space="preserve"> Darah </w:t>
      </w:r>
      <w:proofErr w:type="spellStart"/>
      <w:r w:rsidRPr="002E068A">
        <w:rPr>
          <w:rFonts w:asciiTheme="majorHAnsi" w:hAnsiTheme="majorHAnsi" w:cs="Arial"/>
          <w:color w:val="000000"/>
          <w:sz w:val="16"/>
          <w:szCs w:val="16"/>
        </w:rPr>
        <w:t>Remaja</w:t>
      </w:r>
      <w:proofErr w:type="spellEnd"/>
      <w:r w:rsidRPr="002E068A">
        <w:rPr>
          <w:rFonts w:asciiTheme="majorHAnsi" w:hAnsiTheme="majorHAnsi" w:cs="Arial"/>
          <w:color w:val="000000"/>
          <w:sz w:val="16"/>
          <w:szCs w:val="16"/>
        </w:rPr>
        <w:t xml:space="preserve"> Putri di </w:t>
      </w:r>
      <w:proofErr w:type="spellStart"/>
      <w:r w:rsidRPr="002E068A">
        <w:rPr>
          <w:rFonts w:asciiTheme="majorHAnsi" w:hAnsiTheme="majorHAnsi" w:cs="Arial"/>
          <w:color w:val="000000"/>
          <w:sz w:val="16"/>
          <w:szCs w:val="16"/>
        </w:rPr>
        <w:t>Kabupaten</w:t>
      </w:r>
      <w:proofErr w:type="spellEnd"/>
      <w:r w:rsidRPr="002E068A">
        <w:rPr>
          <w:rFonts w:asciiTheme="majorHAnsi" w:hAnsiTheme="majorHAnsi" w:cs="Arial"/>
          <w:color w:val="000000"/>
          <w:sz w:val="16"/>
          <w:szCs w:val="16"/>
        </w:rPr>
        <w:t xml:space="preserve"> Ogan </w:t>
      </w:r>
      <w:proofErr w:type="spellStart"/>
      <w:r w:rsidRPr="002E068A">
        <w:rPr>
          <w:rFonts w:asciiTheme="majorHAnsi" w:hAnsiTheme="majorHAnsi" w:cs="Arial"/>
          <w:color w:val="000000"/>
          <w:sz w:val="16"/>
          <w:szCs w:val="16"/>
        </w:rPr>
        <w:t>Komering</w:t>
      </w:r>
      <w:proofErr w:type="spellEnd"/>
      <w:r w:rsidRPr="002E068A">
        <w:rPr>
          <w:rFonts w:asciiTheme="majorHAnsi" w:hAnsiTheme="majorHAnsi" w:cs="Arial"/>
          <w:color w:val="000000"/>
          <w:sz w:val="16"/>
          <w:szCs w:val="16"/>
        </w:rPr>
        <w:t xml:space="preserve"> Ilir [Dissertation]. Depok: Universitas Indonesia; 2022. 279 p.</w:t>
      </w:r>
    </w:p>
    <w:p w14:paraId="5916546A" w14:textId="452F2ABF" w:rsidR="00FB68BF" w:rsidRPr="002E068A" w:rsidRDefault="00FB68BF" w:rsidP="000B334F">
      <w:pPr>
        <w:spacing w:line="276" w:lineRule="auto"/>
        <w:ind w:right="128"/>
        <w:jc w:val="both"/>
        <w:rPr>
          <w:rFonts w:asciiTheme="majorHAnsi" w:hAnsiTheme="majorHAnsi"/>
          <w:sz w:val="16"/>
        </w:rPr>
        <w:sectPr w:rsidR="00FB68BF" w:rsidRPr="002E068A" w:rsidSect="00CB1345">
          <w:headerReference w:type="even" r:id="rId13"/>
          <w:headerReference w:type="default" r:id="rId14"/>
          <w:footerReference w:type="even" r:id="rId15"/>
          <w:footerReference w:type="default" r:id="rId16"/>
          <w:type w:val="continuous"/>
          <w:pgSz w:w="11910" w:h="15880"/>
          <w:pgMar w:top="760" w:right="743" w:bottom="278" w:left="760" w:header="876" w:footer="878" w:gutter="0"/>
          <w:cols w:space="720"/>
        </w:sectPr>
      </w:pPr>
    </w:p>
    <w:p w14:paraId="59075634" w14:textId="77777777" w:rsidR="00103C99" w:rsidRDefault="00103C99" w:rsidP="000866C6">
      <w:pPr>
        <w:pStyle w:val="NormalWeb"/>
        <w:spacing w:before="0" w:beforeAutospacing="0" w:after="0" w:afterAutospacing="0" w:line="276" w:lineRule="auto"/>
        <w:jc w:val="both"/>
        <w:rPr>
          <w:rFonts w:asciiTheme="majorHAnsi" w:hAnsiTheme="majorHAnsi" w:cs="Arial"/>
          <w:color w:val="000000"/>
          <w:sz w:val="16"/>
          <w:szCs w:val="16"/>
        </w:rPr>
      </w:pPr>
      <w:bookmarkStart w:id="0" w:name="_bookmark2"/>
      <w:bookmarkStart w:id="1" w:name="_bookmark3"/>
      <w:bookmarkEnd w:id="0"/>
      <w:bookmarkEnd w:id="1"/>
    </w:p>
    <w:p w14:paraId="00D0289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07E118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87BD5A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2E4377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F21809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85353C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BE9F8C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9403B4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FAF5D4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295BAE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0DBAB7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F85CDE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A42843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78E710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789DD2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A72A1F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CC1AA5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096A71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D83A47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7693B22"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CA300C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1551E1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D320C9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6FEA11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C7AA73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36D7BC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705257E"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89134B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40FDED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97C368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2A88E5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F07510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DF53CE2"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DF84B1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9D2CD8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D5C7AA7" w14:textId="4F0E872D"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1BC2C4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47D78C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E919DB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A71D3C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523AD3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0417BE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CFC384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27594E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7CADE4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98AEFB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8615DD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E405C9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22AF55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099161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2C9C07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E75416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9A96A7E"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D4E63B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0E3C6B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F9204A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59440C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9FB871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35DF60D"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B26B66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5A3179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4D128C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73FEC0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534213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FA28E3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5A9FBC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3474B64"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BF1967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332BA3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6A1036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2BF488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3030501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22EB7D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CA9E33B"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738801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0E1790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D562B2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7B2518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4ABB255E"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8B0594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B63CE4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DB1CD7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DDC15A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7016E265"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4E07EF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24A7E4D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5A2EFFA"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014D4E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3F8E356"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52D451C"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522ECF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E6F1A3F"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109CF4E9"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7E8E62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32E5131"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61BAC1F0"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7640367"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58131418"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DCB6F53" w14:textId="77777777" w:rsid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p w14:paraId="0833ACFD" w14:textId="77777777" w:rsidR="00103C99" w:rsidRPr="00103C99" w:rsidRDefault="00103C99" w:rsidP="000B334F">
      <w:pPr>
        <w:pStyle w:val="NormalWeb"/>
        <w:spacing w:before="0" w:beforeAutospacing="0" w:after="0" w:afterAutospacing="0" w:line="276" w:lineRule="auto"/>
        <w:ind w:left="810"/>
        <w:jc w:val="both"/>
        <w:rPr>
          <w:rFonts w:asciiTheme="majorHAnsi" w:hAnsiTheme="majorHAnsi" w:cs="Arial"/>
          <w:color w:val="000000"/>
          <w:sz w:val="16"/>
          <w:szCs w:val="16"/>
        </w:rPr>
      </w:pPr>
    </w:p>
    <w:sectPr w:rsidR="00103C99" w:rsidRPr="00103C99" w:rsidSect="00CB1345">
      <w:pgSz w:w="11910" w:h="15880"/>
      <w:pgMar w:top="760" w:right="743" w:bottom="278" w:left="760" w:header="87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8551" w14:textId="77777777" w:rsidR="00B44145" w:rsidRDefault="00B44145">
      <w:r>
        <w:separator/>
      </w:r>
    </w:p>
  </w:endnote>
  <w:endnote w:type="continuationSeparator" w:id="0">
    <w:p w14:paraId="49B48F52" w14:textId="77777777" w:rsidR="00B44145" w:rsidRDefault="00B4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fe">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fe LT Std Roman">
    <w:altName w:val="Cambria"/>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ptima">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56141"/>
      <w:docPartObj>
        <w:docPartGallery w:val="Page Numbers (Bottom of Page)"/>
        <w:docPartUnique/>
      </w:docPartObj>
    </w:sdtPr>
    <w:sdtEndPr>
      <w:rPr>
        <w:rFonts w:asciiTheme="majorHAnsi" w:hAnsiTheme="majorHAnsi"/>
        <w:noProof/>
        <w:sz w:val="20"/>
        <w:szCs w:val="20"/>
      </w:rPr>
    </w:sdtEndPr>
    <w:sdtContent>
      <w:p w14:paraId="38A817FB" w14:textId="6271990F" w:rsidR="007C42AF" w:rsidRPr="007C42AF" w:rsidRDefault="007C42AF">
        <w:pPr>
          <w:pStyle w:val="Footer"/>
          <w:rPr>
            <w:rFonts w:asciiTheme="majorHAnsi" w:hAnsiTheme="majorHAnsi"/>
            <w:sz w:val="20"/>
            <w:szCs w:val="20"/>
          </w:rPr>
        </w:pPr>
        <w:r w:rsidRPr="007C42AF">
          <w:rPr>
            <w:rFonts w:asciiTheme="majorHAnsi" w:hAnsiTheme="majorHAnsi"/>
            <w:sz w:val="20"/>
            <w:szCs w:val="20"/>
          </w:rPr>
          <w:fldChar w:fldCharType="begin"/>
        </w:r>
        <w:r w:rsidRPr="007C42AF">
          <w:rPr>
            <w:rFonts w:asciiTheme="majorHAnsi" w:hAnsiTheme="majorHAnsi"/>
            <w:sz w:val="20"/>
            <w:szCs w:val="20"/>
          </w:rPr>
          <w:instrText xml:space="preserve"> PAGE   \* MERGEFORMAT </w:instrText>
        </w:r>
        <w:r w:rsidRPr="007C42AF">
          <w:rPr>
            <w:rFonts w:asciiTheme="majorHAnsi" w:hAnsiTheme="majorHAnsi"/>
            <w:sz w:val="20"/>
            <w:szCs w:val="20"/>
          </w:rPr>
          <w:fldChar w:fldCharType="separate"/>
        </w:r>
        <w:r w:rsidRPr="007C42AF">
          <w:rPr>
            <w:rFonts w:asciiTheme="majorHAnsi" w:hAnsiTheme="majorHAnsi"/>
            <w:noProof/>
            <w:sz w:val="20"/>
            <w:szCs w:val="20"/>
          </w:rPr>
          <w:t>2</w:t>
        </w:r>
        <w:r w:rsidRPr="007C42AF">
          <w:rPr>
            <w:rFonts w:asciiTheme="majorHAnsi" w:hAnsiTheme="majorHAnsi"/>
            <w:noProof/>
            <w:sz w:val="20"/>
            <w:szCs w:val="20"/>
          </w:rPr>
          <w:fldChar w:fldCharType="end"/>
        </w:r>
      </w:p>
    </w:sdtContent>
  </w:sdt>
  <w:p w14:paraId="60A954A6" w14:textId="77777777" w:rsidR="00E60505" w:rsidRDefault="00E60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6947" w14:textId="265984CB" w:rsidR="002E068A" w:rsidRDefault="002E068A" w:rsidP="008E0AA9">
    <w:pPr>
      <w:spacing w:line="360" w:lineRule="auto"/>
      <w:ind w:right="147"/>
      <w:jc w:val="center"/>
      <w:rPr>
        <w:rFonts w:asciiTheme="majorHAnsi" w:hAnsiTheme="majorHAnsi"/>
        <w:color w:val="231F20"/>
        <w:sz w:val="15"/>
      </w:rPr>
    </w:pPr>
    <w:r w:rsidRPr="002E068A">
      <w:rPr>
        <w:rFonts w:asciiTheme="majorHAnsi" w:hAnsiTheme="majorHAnsi"/>
        <w:color w:val="231F20"/>
        <w:sz w:val="15"/>
      </w:rPr>
      <w:t xml:space="preserve">Copyright @ 2024, </w:t>
    </w:r>
    <w:r w:rsidRPr="002E068A">
      <w:rPr>
        <w:rFonts w:asciiTheme="majorHAnsi" w:hAnsiTheme="majorHAnsi"/>
        <w:b/>
        <w:color w:val="231F20"/>
        <w:sz w:val="15"/>
      </w:rPr>
      <w:t>Kesmas</w:t>
    </w:r>
    <w:r w:rsidRPr="002E068A">
      <w:rPr>
        <w:rFonts w:asciiTheme="majorHAnsi" w:hAnsiTheme="majorHAnsi"/>
        <w:color w:val="231F20"/>
        <w:sz w:val="15"/>
      </w:rPr>
      <w:t>: Jurnal Kesehatan Masyarakat Nasional (National Public Health Journal), p-ISSN: 1907-7505, e-ISSN: 2460-0601</w:t>
    </w:r>
    <w:r>
      <w:rPr>
        <w:rFonts w:asciiTheme="majorHAnsi" w:hAnsiTheme="majorHAnsi"/>
        <w:color w:val="231F20"/>
        <w:sz w:val="15"/>
      </w:rPr>
      <w:t>.</w:t>
    </w:r>
  </w:p>
  <w:p w14:paraId="6DD7F139" w14:textId="71CACB62" w:rsidR="002E068A" w:rsidRDefault="002E068A" w:rsidP="002E068A">
    <w:pPr>
      <w:spacing w:line="360" w:lineRule="auto"/>
      <w:ind w:right="147" w:hanging="8"/>
      <w:jc w:val="center"/>
      <w:rPr>
        <w:rFonts w:asciiTheme="majorHAnsi" w:hAnsiTheme="majorHAnsi"/>
        <w:color w:val="231F20"/>
        <w:sz w:val="15"/>
      </w:rPr>
    </w:pPr>
    <w:r>
      <w:rPr>
        <w:rFonts w:asciiTheme="majorHAnsi" w:hAnsiTheme="majorHAnsi"/>
        <w:color w:val="231F20"/>
        <w:sz w:val="15"/>
      </w:rPr>
      <w:t xml:space="preserve">Scopus, Web of Science, DOAJ, and </w:t>
    </w:r>
    <w:r w:rsidRPr="002E068A">
      <w:rPr>
        <w:rFonts w:asciiTheme="majorHAnsi" w:hAnsiTheme="majorHAnsi"/>
        <w:color w:val="231F20"/>
        <w:sz w:val="15"/>
      </w:rPr>
      <w:t>SINTA</w:t>
    </w:r>
    <w:r>
      <w:rPr>
        <w:rFonts w:asciiTheme="majorHAnsi" w:hAnsiTheme="majorHAnsi"/>
        <w:color w:val="231F20"/>
        <w:sz w:val="15"/>
      </w:rPr>
      <w:t>-</w:t>
    </w:r>
    <w:r w:rsidRPr="002E068A">
      <w:rPr>
        <w:rFonts w:asciiTheme="majorHAnsi" w:hAnsiTheme="majorHAnsi"/>
        <w:color w:val="231F20"/>
        <w:sz w:val="15"/>
      </w:rPr>
      <w:t>S1</w:t>
    </w:r>
    <w:r>
      <w:rPr>
        <w:rFonts w:asciiTheme="majorHAnsi" w:hAnsiTheme="majorHAnsi"/>
        <w:color w:val="231F20"/>
        <w:sz w:val="15"/>
      </w:rPr>
      <w:t xml:space="preserve"> </w:t>
    </w:r>
    <w:r w:rsidRPr="002E068A">
      <w:rPr>
        <w:rFonts w:asciiTheme="majorHAnsi" w:hAnsiTheme="majorHAnsi"/>
        <w:color w:val="231F20"/>
        <w:sz w:val="15"/>
      </w:rPr>
      <w:t>accredited,</w:t>
    </w:r>
    <w:r>
      <w:rPr>
        <w:rFonts w:asciiTheme="majorHAnsi" w:hAnsiTheme="majorHAnsi"/>
        <w:color w:val="231F20"/>
        <w:spacing w:val="40"/>
        <w:sz w:val="15"/>
      </w:rPr>
      <w:t xml:space="preserve"> </w:t>
    </w:r>
    <w:hyperlink r:id="rId1" w:history="1">
      <w:r w:rsidRPr="0090255A">
        <w:rPr>
          <w:rStyle w:val="Hyperlink"/>
          <w:rFonts w:asciiTheme="majorHAnsi" w:hAnsiTheme="majorHAnsi"/>
          <w:sz w:val="15"/>
          <w:szCs w:val="15"/>
        </w:rPr>
        <w:t>https://scholarhub.ui.ac.id/kesmas/</w:t>
      </w:r>
    </w:hyperlink>
  </w:p>
  <w:p w14:paraId="27EC2580" w14:textId="20260699" w:rsidR="00E60505" w:rsidRPr="002E068A" w:rsidRDefault="002E068A" w:rsidP="002E068A">
    <w:pPr>
      <w:spacing w:line="360" w:lineRule="auto"/>
      <w:ind w:right="147" w:hanging="8"/>
      <w:jc w:val="center"/>
      <w:rPr>
        <w:rFonts w:asciiTheme="majorHAnsi" w:hAnsiTheme="majorHAnsi"/>
        <w:sz w:val="15"/>
      </w:rPr>
    </w:pPr>
    <w:r w:rsidRPr="002E068A">
      <w:rPr>
        <w:rFonts w:asciiTheme="majorHAnsi" w:hAnsiTheme="majorHAnsi"/>
        <w:color w:val="231F20"/>
        <w:sz w:val="15"/>
      </w:rPr>
      <w:t>Licensed under Creative Commons Attribution-ShareAlike 4.0 International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709947611"/>
      <w:docPartObj>
        <w:docPartGallery w:val="Page Numbers (Bottom of Page)"/>
        <w:docPartUnique/>
      </w:docPartObj>
    </w:sdtPr>
    <w:sdtEndPr>
      <w:rPr>
        <w:noProof/>
        <w:sz w:val="20"/>
        <w:szCs w:val="20"/>
      </w:rPr>
    </w:sdtEndPr>
    <w:sdtContent>
      <w:p w14:paraId="543A6ECD" w14:textId="59674BEB" w:rsidR="00A32A0D" w:rsidRPr="00A32A0D" w:rsidRDefault="00A32A0D">
        <w:pPr>
          <w:pStyle w:val="Footer"/>
          <w:rPr>
            <w:rFonts w:asciiTheme="majorHAnsi" w:hAnsiTheme="majorHAnsi"/>
            <w:sz w:val="20"/>
            <w:szCs w:val="20"/>
          </w:rPr>
        </w:pPr>
        <w:r w:rsidRPr="00A32A0D">
          <w:rPr>
            <w:rFonts w:asciiTheme="majorHAnsi" w:hAnsiTheme="majorHAnsi"/>
            <w:sz w:val="20"/>
            <w:szCs w:val="20"/>
          </w:rPr>
          <w:fldChar w:fldCharType="begin"/>
        </w:r>
        <w:r w:rsidRPr="00A32A0D">
          <w:rPr>
            <w:rFonts w:asciiTheme="majorHAnsi" w:hAnsiTheme="majorHAnsi"/>
            <w:sz w:val="20"/>
            <w:szCs w:val="20"/>
          </w:rPr>
          <w:instrText xml:space="preserve"> PAGE   \* MERGEFORMAT </w:instrText>
        </w:r>
        <w:r w:rsidRPr="00A32A0D">
          <w:rPr>
            <w:rFonts w:asciiTheme="majorHAnsi" w:hAnsiTheme="majorHAnsi"/>
            <w:sz w:val="20"/>
            <w:szCs w:val="20"/>
          </w:rPr>
          <w:fldChar w:fldCharType="separate"/>
        </w:r>
        <w:r w:rsidRPr="00A32A0D">
          <w:rPr>
            <w:rFonts w:asciiTheme="majorHAnsi" w:hAnsiTheme="majorHAnsi"/>
            <w:noProof/>
            <w:sz w:val="20"/>
            <w:szCs w:val="20"/>
          </w:rPr>
          <w:t>2</w:t>
        </w:r>
        <w:r w:rsidRPr="00A32A0D">
          <w:rPr>
            <w:rFonts w:asciiTheme="majorHAnsi" w:hAnsiTheme="majorHAnsi"/>
            <w:noProof/>
            <w:sz w:val="20"/>
            <w:szCs w:val="20"/>
          </w:rPr>
          <w:fldChar w:fldCharType="end"/>
        </w:r>
      </w:p>
    </w:sdtContent>
  </w:sdt>
  <w:p w14:paraId="4E52FEEA" w14:textId="14B1A8F1" w:rsidR="00164916" w:rsidRDefault="00164916">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862"/>
      <w:docPartObj>
        <w:docPartGallery w:val="Page Numbers (Bottom of Page)"/>
        <w:docPartUnique/>
      </w:docPartObj>
    </w:sdtPr>
    <w:sdtEndPr>
      <w:rPr>
        <w:rFonts w:asciiTheme="majorHAnsi" w:hAnsiTheme="majorHAnsi"/>
        <w:noProof/>
        <w:sz w:val="20"/>
        <w:szCs w:val="20"/>
      </w:rPr>
    </w:sdtEndPr>
    <w:sdtContent>
      <w:p w14:paraId="412272F3" w14:textId="61AB33E8" w:rsidR="007C42AF" w:rsidRPr="00A32A0D" w:rsidRDefault="007C42AF">
        <w:pPr>
          <w:pStyle w:val="Footer"/>
          <w:jc w:val="right"/>
          <w:rPr>
            <w:rFonts w:asciiTheme="majorHAnsi" w:hAnsiTheme="majorHAnsi"/>
            <w:sz w:val="20"/>
            <w:szCs w:val="20"/>
          </w:rPr>
        </w:pPr>
        <w:r w:rsidRPr="00A32A0D">
          <w:rPr>
            <w:rFonts w:asciiTheme="majorHAnsi" w:hAnsiTheme="majorHAnsi"/>
            <w:sz w:val="20"/>
            <w:szCs w:val="20"/>
          </w:rPr>
          <w:fldChar w:fldCharType="begin"/>
        </w:r>
        <w:r w:rsidRPr="00A32A0D">
          <w:rPr>
            <w:rFonts w:asciiTheme="majorHAnsi" w:hAnsiTheme="majorHAnsi"/>
            <w:sz w:val="20"/>
            <w:szCs w:val="20"/>
          </w:rPr>
          <w:instrText xml:space="preserve"> PAGE   \* MERGEFORMAT </w:instrText>
        </w:r>
        <w:r w:rsidRPr="00A32A0D">
          <w:rPr>
            <w:rFonts w:asciiTheme="majorHAnsi" w:hAnsiTheme="majorHAnsi"/>
            <w:sz w:val="20"/>
            <w:szCs w:val="20"/>
          </w:rPr>
          <w:fldChar w:fldCharType="separate"/>
        </w:r>
        <w:r w:rsidRPr="00A32A0D">
          <w:rPr>
            <w:rFonts w:asciiTheme="majorHAnsi" w:hAnsiTheme="majorHAnsi"/>
            <w:noProof/>
            <w:sz w:val="20"/>
            <w:szCs w:val="20"/>
          </w:rPr>
          <w:t>2</w:t>
        </w:r>
        <w:r w:rsidRPr="00A32A0D">
          <w:rPr>
            <w:rFonts w:asciiTheme="majorHAnsi" w:hAnsiTheme="majorHAnsi"/>
            <w:noProof/>
            <w:sz w:val="20"/>
            <w:szCs w:val="20"/>
          </w:rPr>
          <w:fldChar w:fldCharType="end"/>
        </w:r>
      </w:p>
    </w:sdtContent>
  </w:sdt>
  <w:p w14:paraId="5F59E27E" w14:textId="31E1DE85" w:rsidR="00164916" w:rsidRDefault="0016491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992E" w14:textId="77777777" w:rsidR="00B44145" w:rsidRDefault="00B44145">
      <w:r>
        <w:separator/>
      </w:r>
    </w:p>
  </w:footnote>
  <w:footnote w:type="continuationSeparator" w:id="0">
    <w:p w14:paraId="6212EE54" w14:textId="77777777" w:rsidR="00B44145" w:rsidRDefault="00B4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881" w14:textId="697DCBC5" w:rsidR="00103C99" w:rsidRDefault="00EB7603">
    <w:pPr>
      <w:pStyle w:val="Header"/>
    </w:pPr>
    <w:r>
      <w:rPr>
        <w:noProof/>
      </w:rPr>
      <mc:AlternateContent>
        <mc:Choice Requires="wps">
          <w:drawing>
            <wp:anchor distT="0" distB="0" distL="0" distR="0" simplePos="0" relativeHeight="251661312" behindDoc="1" locked="0" layoutInCell="1" allowOverlap="1" wp14:anchorId="19FF3CE7" wp14:editId="6FD038D1">
              <wp:simplePos x="0" y="0"/>
              <wp:positionH relativeFrom="page">
                <wp:posOffset>482600</wp:posOffset>
              </wp:positionH>
              <wp:positionV relativeFrom="page">
                <wp:posOffset>551815</wp:posOffset>
              </wp:positionV>
              <wp:extent cx="4473526" cy="253219"/>
              <wp:effectExtent l="0" t="0" r="0" b="0"/>
              <wp:wrapNone/>
              <wp:docPr id="29292925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3526" cy="253219"/>
                      </a:xfrm>
                      <a:prstGeom prst="rect">
                        <a:avLst/>
                      </a:prstGeom>
                    </wps:spPr>
                    <wps:txbx>
                      <w:txbxContent>
                        <w:p w14:paraId="7B7481EF" w14:textId="77777777" w:rsidR="00EB7603" w:rsidRDefault="00EB7603" w:rsidP="00EB7603">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2024;</w:t>
                          </w:r>
                          <w:r>
                            <w:rPr>
                              <w:rFonts w:ascii="Arial Narrow"/>
                              <w:color w:val="231F20"/>
                              <w:spacing w:val="1"/>
                              <w:sz w:val="18"/>
                            </w:rPr>
                            <w:t xml:space="preserve"> </w:t>
                          </w:r>
                          <w:r>
                            <w:rPr>
                              <w:rFonts w:ascii="Arial Narrow"/>
                              <w:color w:val="231F20"/>
                              <w:sz w:val="18"/>
                            </w:rPr>
                            <w:t>19</w:t>
                          </w:r>
                          <w:r>
                            <w:rPr>
                              <w:rFonts w:ascii="Arial Narrow"/>
                              <w:color w:val="231F20"/>
                              <w:spacing w:val="1"/>
                              <w:sz w:val="18"/>
                            </w:rPr>
                            <w:t xml:space="preserve"> </w:t>
                          </w:r>
                          <w:r>
                            <w:rPr>
                              <w:rFonts w:ascii="Arial Narrow"/>
                              <w:color w:val="231F20"/>
                              <w:sz w:val="18"/>
                            </w:rPr>
                            <w:t>(X):</w:t>
                          </w:r>
                          <w:r>
                            <w:rPr>
                              <w:rFonts w:ascii="Arial Narrow"/>
                              <w:color w:val="231F20"/>
                              <w:spacing w:val="1"/>
                              <w:sz w:val="18"/>
                            </w:rPr>
                            <w:t xml:space="preserve"> </w:t>
                          </w:r>
                          <w:r>
                            <w:rPr>
                              <w:rFonts w:ascii="Arial Narrow"/>
                              <w:color w:val="231F20"/>
                              <w:sz w:val="18"/>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FF3CE7" id="_x0000_t202" coordsize="21600,21600" o:spt="202" path="m,l,21600r21600,l21600,xe">
              <v:stroke joinstyle="miter"/>
              <v:path gradientshapeok="t" o:connecttype="rect"/>
            </v:shapetype>
            <v:shape id="Textbox 7" o:spid="_x0000_s1026" type="#_x0000_t202" style="position:absolute;margin-left:38pt;margin-top:43.45pt;width:352.25pt;height:19.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" filled="f" stroked="f">
              <v:textbox inset="0,0,0,0">
                <w:txbxContent>
                  <w:p w14:paraId="7B7481EF" w14:textId="77777777" w:rsidR="00EB7603" w:rsidRDefault="00EB7603" w:rsidP="00EB7603">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2024;</w:t>
                    </w:r>
                    <w:r>
                      <w:rPr>
                        <w:rFonts w:ascii="Arial Narrow"/>
                        <w:color w:val="231F20"/>
                        <w:spacing w:val="1"/>
                        <w:sz w:val="18"/>
                      </w:rPr>
                      <w:t xml:space="preserve"> </w:t>
                    </w:r>
                    <w:r>
                      <w:rPr>
                        <w:rFonts w:ascii="Arial Narrow"/>
                        <w:color w:val="231F20"/>
                        <w:sz w:val="18"/>
                      </w:rPr>
                      <w:t>19</w:t>
                    </w:r>
                    <w:r>
                      <w:rPr>
                        <w:rFonts w:ascii="Arial Narrow"/>
                        <w:color w:val="231F20"/>
                        <w:spacing w:val="1"/>
                        <w:sz w:val="18"/>
                      </w:rPr>
                      <w:t xml:space="preserve"> </w:t>
                    </w:r>
                    <w:r>
                      <w:rPr>
                        <w:rFonts w:ascii="Arial Narrow"/>
                        <w:color w:val="231F20"/>
                        <w:sz w:val="18"/>
                      </w:rPr>
                      <w:t>(X):</w:t>
                    </w:r>
                    <w:r>
                      <w:rPr>
                        <w:rFonts w:ascii="Arial Narrow"/>
                        <w:color w:val="231F20"/>
                        <w:spacing w:val="1"/>
                        <w:sz w:val="18"/>
                      </w:rPr>
                      <w:t xml:space="preserve"> </w:t>
                    </w:r>
                    <w:r>
                      <w:rPr>
                        <w:rFonts w:ascii="Arial Narrow"/>
                        <w:color w:val="231F20"/>
                        <w:sz w:val="18"/>
                      </w:rPr>
                      <w:t>XX-XX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208"/>
    </w:tblGrid>
    <w:tr w:rsidR="00E60505" w:rsidRPr="00E60505" w14:paraId="60C68010" w14:textId="77777777" w:rsidTr="00E60505">
      <w:trPr>
        <w:trHeight w:val="423"/>
      </w:trPr>
      <w:tc>
        <w:tcPr>
          <w:tcW w:w="5323" w:type="dxa"/>
        </w:tcPr>
        <w:p w14:paraId="73590D3A" w14:textId="77777777" w:rsidR="00E60505" w:rsidRPr="00E60505" w:rsidRDefault="00E60505" w:rsidP="00E60505">
          <w:pPr>
            <w:ind w:left="130"/>
            <w:rPr>
              <w:rFonts w:asciiTheme="majorHAnsi" w:hAnsiTheme="majorHAnsi"/>
              <w:i/>
              <w:color w:val="231F20"/>
              <w:sz w:val="15"/>
              <w:szCs w:val="15"/>
            </w:rPr>
          </w:pPr>
          <w:r w:rsidRPr="00E60505">
            <w:rPr>
              <w:rFonts w:asciiTheme="majorHAnsi" w:hAnsiTheme="majorHAnsi"/>
              <w:color w:val="231F20"/>
              <w:sz w:val="15"/>
              <w:szCs w:val="15"/>
            </w:rPr>
            <w:t xml:space="preserve">__________, </w:t>
          </w:r>
          <w:r w:rsidRPr="00E60505">
            <w:rPr>
              <w:rFonts w:asciiTheme="majorHAnsi" w:hAnsiTheme="majorHAnsi"/>
              <w:i/>
              <w:color w:val="231F20"/>
              <w:sz w:val="15"/>
              <w:szCs w:val="15"/>
            </w:rPr>
            <w:t xml:space="preserve">et al. Kesmas: Jurnal Kesehatan Masyarakat Nasional </w:t>
          </w:r>
        </w:p>
        <w:p w14:paraId="3A5D60D5" w14:textId="77777777" w:rsidR="00E60505" w:rsidRPr="00E60505" w:rsidRDefault="00E60505" w:rsidP="00E60505">
          <w:pPr>
            <w:ind w:left="130"/>
            <w:rPr>
              <w:rFonts w:asciiTheme="majorHAnsi" w:hAnsiTheme="majorHAnsi"/>
              <w:sz w:val="15"/>
              <w:szCs w:val="15"/>
            </w:rPr>
          </w:pPr>
          <w:r w:rsidRPr="00E60505">
            <w:rPr>
              <w:rFonts w:asciiTheme="majorHAnsi" w:hAnsiTheme="majorHAnsi"/>
              <w:i/>
              <w:color w:val="231F20"/>
              <w:sz w:val="15"/>
              <w:szCs w:val="15"/>
            </w:rPr>
            <w:t>(National Public Health Journal)</w:t>
          </w:r>
          <w:r w:rsidRPr="00E60505">
            <w:rPr>
              <w:rFonts w:asciiTheme="majorHAnsi" w:hAnsiTheme="majorHAnsi"/>
              <w:color w:val="231F20"/>
              <w:sz w:val="15"/>
              <w:szCs w:val="15"/>
            </w:rPr>
            <w:t>. 2024; 19 (1): xx-xx</w:t>
          </w:r>
        </w:p>
        <w:p w14:paraId="1A15A621" w14:textId="02376D7C" w:rsidR="00E60505" w:rsidRPr="00E60505" w:rsidRDefault="00E60505" w:rsidP="00E60505">
          <w:pPr>
            <w:ind w:left="130"/>
            <w:rPr>
              <w:rFonts w:asciiTheme="majorHAnsi" w:hAnsiTheme="majorHAnsi"/>
              <w:sz w:val="15"/>
              <w:szCs w:val="15"/>
            </w:rPr>
          </w:pPr>
          <w:r w:rsidRPr="00E60505">
            <w:rPr>
              <w:rFonts w:asciiTheme="majorHAnsi" w:hAnsiTheme="majorHAnsi"/>
              <w:color w:val="231F20"/>
              <w:sz w:val="15"/>
              <w:szCs w:val="15"/>
            </w:rPr>
            <w:t>DOI:</w:t>
          </w:r>
          <w:r w:rsidRPr="00E60505">
            <w:rPr>
              <w:rFonts w:asciiTheme="majorHAnsi" w:hAnsiTheme="majorHAnsi"/>
              <w:color w:val="231F20"/>
              <w:spacing w:val="4"/>
              <w:sz w:val="15"/>
              <w:szCs w:val="15"/>
            </w:rPr>
            <w:t xml:space="preserve"> </w:t>
          </w:r>
        </w:p>
      </w:tc>
      <w:tc>
        <w:tcPr>
          <w:tcW w:w="5323" w:type="dxa"/>
        </w:tcPr>
        <w:p w14:paraId="7B4B70D2" w14:textId="77777777" w:rsidR="00E60505" w:rsidRPr="00E60505" w:rsidRDefault="00E60505" w:rsidP="00E60505">
          <w:pPr>
            <w:ind w:right="128"/>
            <w:jc w:val="right"/>
            <w:rPr>
              <w:rFonts w:asciiTheme="majorHAnsi" w:hAnsiTheme="majorHAnsi"/>
              <w:b/>
              <w:sz w:val="20"/>
              <w:szCs w:val="21"/>
            </w:rPr>
          </w:pPr>
          <w:r w:rsidRPr="00E60505">
            <w:rPr>
              <w:rFonts w:asciiTheme="majorHAnsi" w:hAnsiTheme="majorHAnsi"/>
              <w:b/>
              <w:color w:val="231F20"/>
              <w:sz w:val="20"/>
              <w:szCs w:val="21"/>
            </w:rPr>
            <w:t>Kesmas:</w:t>
          </w:r>
          <w:r w:rsidRPr="00E60505">
            <w:rPr>
              <w:rFonts w:asciiTheme="majorHAnsi" w:hAnsiTheme="majorHAnsi"/>
              <w:b/>
              <w:color w:val="231F20"/>
              <w:spacing w:val="5"/>
              <w:sz w:val="20"/>
              <w:szCs w:val="21"/>
            </w:rPr>
            <w:t xml:space="preserve"> </w:t>
          </w:r>
          <w:r w:rsidRPr="00E60505">
            <w:rPr>
              <w:rFonts w:asciiTheme="majorHAnsi" w:hAnsiTheme="majorHAnsi"/>
              <w:b/>
              <w:color w:val="231F20"/>
              <w:sz w:val="20"/>
              <w:szCs w:val="21"/>
            </w:rPr>
            <w:t>Jurnal</w:t>
          </w:r>
          <w:r w:rsidRPr="00E60505">
            <w:rPr>
              <w:rFonts w:asciiTheme="majorHAnsi" w:hAnsiTheme="majorHAnsi"/>
              <w:b/>
              <w:color w:val="231F20"/>
              <w:spacing w:val="6"/>
              <w:sz w:val="20"/>
              <w:szCs w:val="21"/>
            </w:rPr>
            <w:t xml:space="preserve"> </w:t>
          </w:r>
          <w:r w:rsidRPr="00E60505">
            <w:rPr>
              <w:rFonts w:asciiTheme="majorHAnsi" w:hAnsiTheme="majorHAnsi"/>
              <w:b/>
              <w:color w:val="231F20"/>
              <w:sz w:val="20"/>
              <w:szCs w:val="21"/>
            </w:rPr>
            <w:t>Kesehatan</w:t>
          </w:r>
          <w:r w:rsidRPr="00E60505">
            <w:rPr>
              <w:rFonts w:asciiTheme="majorHAnsi" w:hAnsiTheme="majorHAnsi"/>
              <w:b/>
              <w:color w:val="231F20"/>
              <w:spacing w:val="5"/>
              <w:sz w:val="20"/>
              <w:szCs w:val="21"/>
            </w:rPr>
            <w:t xml:space="preserve"> </w:t>
          </w:r>
          <w:r w:rsidRPr="00E60505">
            <w:rPr>
              <w:rFonts w:asciiTheme="majorHAnsi" w:hAnsiTheme="majorHAnsi"/>
              <w:b/>
              <w:color w:val="231F20"/>
              <w:sz w:val="20"/>
              <w:szCs w:val="21"/>
            </w:rPr>
            <w:t>Masyarakat</w:t>
          </w:r>
          <w:r w:rsidRPr="00E60505">
            <w:rPr>
              <w:rFonts w:asciiTheme="majorHAnsi" w:hAnsiTheme="majorHAnsi"/>
              <w:b/>
              <w:color w:val="231F20"/>
              <w:spacing w:val="6"/>
              <w:sz w:val="20"/>
              <w:szCs w:val="21"/>
            </w:rPr>
            <w:t xml:space="preserve"> </w:t>
          </w:r>
          <w:r w:rsidRPr="00E60505">
            <w:rPr>
              <w:rFonts w:asciiTheme="majorHAnsi" w:hAnsiTheme="majorHAnsi"/>
              <w:b/>
              <w:color w:val="231F20"/>
              <w:spacing w:val="-2"/>
              <w:sz w:val="20"/>
              <w:szCs w:val="21"/>
            </w:rPr>
            <w:t>Nasional</w:t>
          </w:r>
        </w:p>
        <w:p w14:paraId="4B92FB7B" w14:textId="4A1F83DF" w:rsidR="00E60505" w:rsidRPr="00E60505" w:rsidRDefault="00E60505" w:rsidP="00E60505">
          <w:pPr>
            <w:ind w:right="128"/>
            <w:jc w:val="right"/>
            <w:rPr>
              <w:rFonts w:asciiTheme="majorHAnsi" w:hAnsiTheme="majorHAnsi"/>
              <w:b/>
              <w:sz w:val="15"/>
              <w:szCs w:val="15"/>
            </w:rPr>
          </w:pPr>
          <w:r w:rsidRPr="00E60505">
            <w:rPr>
              <w:rFonts w:asciiTheme="majorHAnsi" w:hAnsiTheme="majorHAnsi"/>
              <w:b/>
              <w:color w:val="231F20"/>
              <w:sz w:val="20"/>
              <w:szCs w:val="21"/>
            </w:rPr>
            <w:t>(National</w:t>
          </w:r>
          <w:r w:rsidRPr="00E60505">
            <w:rPr>
              <w:rFonts w:asciiTheme="majorHAnsi" w:hAnsiTheme="majorHAnsi"/>
              <w:b/>
              <w:color w:val="231F20"/>
              <w:spacing w:val="8"/>
              <w:sz w:val="20"/>
              <w:szCs w:val="21"/>
            </w:rPr>
            <w:t xml:space="preserve"> </w:t>
          </w:r>
          <w:r w:rsidRPr="00E60505">
            <w:rPr>
              <w:rFonts w:asciiTheme="majorHAnsi" w:hAnsiTheme="majorHAnsi"/>
              <w:b/>
              <w:color w:val="231F20"/>
              <w:sz w:val="20"/>
              <w:szCs w:val="21"/>
            </w:rPr>
            <w:t>Public</w:t>
          </w:r>
          <w:r w:rsidRPr="00E60505">
            <w:rPr>
              <w:rFonts w:asciiTheme="majorHAnsi" w:hAnsiTheme="majorHAnsi"/>
              <w:b/>
              <w:color w:val="231F20"/>
              <w:spacing w:val="9"/>
              <w:sz w:val="20"/>
              <w:szCs w:val="21"/>
            </w:rPr>
            <w:t xml:space="preserve"> </w:t>
          </w:r>
          <w:r w:rsidRPr="00E60505">
            <w:rPr>
              <w:rFonts w:asciiTheme="majorHAnsi" w:hAnsiTheme="majorHAnsi"/>
              <w:b/>
              <w:color w:val="231F20"/>
              <w:sz w:val="20"/>
              <w:szCs w:val="21"/>
            </w:rPr>
            <w:t>Health</w:t>
          </w:r>
          <w:r w:rsidRPr="00E60505">
            <w:rPr>
              <w:rFonts w:asciiTheme="majorHAnsi" w:hAnsiTheme="majorHAnsi"/>
              <w:b/>
              <w:color w:val="231F20"/>
              <w:spacing w:val="9"/>
              <w:sz w:val="20"/>
              <w:szCs w:val="21"/>
            </w:rPr>
            <w:t xml:space="preserve"> </w:t>
          </w:r>
          <w:r w:rsidRPr="00E60505">
            <w:rPr>
              <w:rFonts w:asciiTheme="majorHAnsi" w:hAnsiTheme="majorHAnsi"/>
              <w:b/>
              <w:color w:val="231F20"/>
              <w:spacing w:val="-2"/>
              <w:sz w:val="20"/>
              <w:szCs w:val="21"/>
            </w:rPr>
            <w:t>Journal)</w:t>
          </w:r>
        </w:p>
      </w:tc>
    </w:tr>
  </w:tbl>
  <w:p w14:paraId="2B3CA918" w14:textId="77777777" w:rsidR="00E60505" w:rsidRPr="00E60505" w:rsidRDefault="00E60505" w:rsidP="00E60505">
    <w:pPr>
      <w:pStyle w:val="Header"/>
      <w:rPr>
        <w:rFonts w:asciiTheme="majorHAnsi" w:hAnsiTheme="majorHAns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66E5" w14:textId="77777777" w:rsidR="00164916" w:rsidRDefault="007E690D">
    <w:pPr>
      <w:pStyle w:val="BodyText"/>
      <w:spacing w:line="14" w:lineRule="auto"/>
    </w:pPr>
    <w:r>
      <w:rPr>
        <w:noProof/>
      </w:rPr>
      <mc:AlternateContent>
        <mc:Choice Requires="wps">
          <w:drawing>
            <wp:anchor distT="0" distB="0" distL="0" distR="0" simplePos="0" relativeHeight="251656192" behindDoc="1" locked="0" layoutInCell="1" allowOverlap="1" wp14:anchorId="2067934D" wp14:editId="6CA02C1B">
              <wp:simplePos x="0" y="0"/>
              <wp:positionH relativeFrom="page">
                <wp:posOffset>471268</wp:posOffset>
              </wp:positionH>
              <wp:positionV relativeFrom="page">
                <wp:posOffset>316522</wp:posOffset>
              </wp:positionV>
              <wp:extent cx="4473526" cy="25321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3526" cy="253219"/>
                      </a:xfrm>
                      <a:prstGeom prst="rect">
                        <a:avLst/>
                      </a:prstGeom>
                    </wps:spPr>
                    <wps:txbx>
                      <w:txbxContent>
                        <w:p w14:paraId="0E02EEFE" w14:textId="0F0F9EAE" w:rsidR="00164916" w:rsidRDefault="007E690D">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w:t>
                          </w:r>
                          <w:r w:rsidR="006D6F9A">
                            <w:rPr>
                              <w:rFonts w:ascii="Arial Narrow"/>
                              <w:color w:val="231F20"/>
                              <w:sz w:val="18"/>
                            </w:rPr>
                            <w:t>4</w:t>
                          </w:r>
                          <w:r>
                            <w:rPr>
                              <w:rFonts w:ascii="Arial Narrow"/>
                              <w:color w:val="231F20"/>
                              <w:sz w:val="18"/>
                            </w:rPr>
                            <w:t>;</w:t>
                          </w:r>
                          <w:r>
                            <w:rPr>
                              <w:rFonts w:ascii="Arial Narrow"/>
                              <w:color w:val="231F20"/>
                              <w:spacing w:val="1"/>
                              <w:sz w:val="18"/>
                            </w:rPr>
                            <w:t xml:space="preserve"> </w:t>
                          </w:r>
                          <w:r>
                            <w:rPr>
                              <w:rFonts w:ascii="Arial Narrow"/>
                              <w:color w:val="231F20"/>
                              <w:sz w:val="18"/>
                            </w:rPr>
                            <w:t>1</w:t>
                          </w:r>
                          <w:r w:rsidR="006D6F9A">
                            <w:rPr>
                              <w:rFonts w:ascii="Arial Narrow"/>
                              <w:color w:val="231F20"/>
                              <w:sz w:val="18"/>
                            </w:rPr>
                            <w:t>9</w:t>
                          </w:r>
                          <w:r>
                            <w:rPr>
                              <w:rFonts w:ascii="Arial Narrow"/>
                              <w:color w:val="231F20"/>
                              <w:spacing w:val="1"/>
                              <w:sz w:val="18"/>
                            </w:rPr>
                            <w:t xml:space="preserve"> </w:t>
                          </w:r>
                          <w:r>
                            <w:rPr>
                              <w:rFonts w:ascii="Arial Narrow"/>
                              <w:color w:val="231F20"/>
                              <w:sz w:val="18"/>
                            </w:rPr>
                            <w:t>(</w:t>
                          </w:r>
                          <w:r w:rsidR="006D6F9A">
                            <w:rPr>
                              <w:rFonts w:ascii="Arial Narrow"/>
                              <w:color w:val="231F20"/>
                              <w:sz w:val="18"/>
                            </w:rPr>
                            <w:t>X</w:t>
                          </w:r>
                          <w:r>
                            <w:rPr>
                              <w:rFonts w:ascii="Arial Narrow"/>
                              <w:color w:val="231F20"/>
                              <w:sz w:val="18"/>
                            </w:rPr>
                            <w:t>):</w:t>
                          </w:r>
                          <w:r>
                            <w:rPr>
                              <w:rFonts w:ascii="Arial Narrow"/>
                              <w:color w:val="231F20"/>
                              <w:spacing w:val="1"/>
                              <w:sz w:val="18"/>
                            </w:rPr>
                            <w:t xml:space="preserve"> </w:t>
                          </w:r>
                          <w:r w:rsidR="006D6F9A">
                            <w:rPr>
                              <w:rFonts w:ascii="Arial Narrow"/>
                              <w:color w:val="231F20"/>
                              <w:sz w:val="18"/>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67934D" id="_x0000_t202" coordsize="21600,21600" o:spt="202" path="m,l,21600r21600,l21600,xe">
              <v:stroke joinstyle="miter"/>
              <v:path gradientshapeok="t" o:connecttype="rect"/>
            </v:shapetype>
            <v:shape id="_x0000_s1027" type="#_x0000_t202" style="position:absolute;margin-left:37.1pt;margin-top:24.9pt;width:352.25pt;height:1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" filled="f" stroked="f">
              <v:textbox inset="0,0,0,0">
                <w:txbxContent>
                  <w:p w14:paraId="0E02EEFE" w14:textId="0F0F9EAE" w:rsidR="00164916" w:rsidRDefault="007E690D">
                    <w:pPr>
                      <w:spacing w:before="18"/>
                      <w:ind w:left="20"/>
                      <w:rPr>
                        <w:rFonts w:ascii="Arial Narrow"/>
                        <w:sz w:val="18"/>
                      </w:rPr>
                    </w:pPr>
                    <w:r>
                      <w:rPr>
                        <w:rFonts w:ascii="Optima"/>
                        <w:b/>
                        <w:color w:val="231F20"/>
                        <w:sz w:val="18"/>
                      </w:rPr>
                      <w:t>Kesmas</w:t>
                    </w:r>
                    <w:r>
                      <w:rPr>
                        <w:rFonts w:ascii="Arial Narrow"/>
                        <w:color w:val="231F20"/>
                        <w:sz w:val="18"/>
                      </w:rPr>
                      <w:t>:</w:t>
                    </w:r>
                    <w:r>
                      <w:rPr>
                        <w:rFonts w:ascii="Arial Narrow"/>
                        <w:color w:val="231F20"/>
                        <w:spacing w:val="1"/>
                        <w:sz w:val="18"/>
                      </w:rPr>
                      <w:t xml:space="preserve"> </w:t>
                    </w:r>
                    <w:r>
                      <w:rPr>
                        <w:rFonts w:ascii="Arial Narrow"/>
                        <w:i/>
                        <w:color w:val="231F20"/>
                        <w:sz w:val="18"/>
                      </w:rPr>
                      <w:t>Jurnal</w:t>
                    </w:r>
                    <w:r>
                      <w:rPr>
                        <w:rFonts w:ascii="Arial Narrow"/>
                        <w:i/>
                        <w:color w:val="231F20"/>
                        <w:spacing w:val="1"/>
                        <w:sz w:val="18"/>
                      </w:rPr>
                      <w:t xml:space="preserve"> </w:t>
                    </w:r>
                    <w:r>
                      <w:rPr>
                        <w:rFonts w:ascii="Arial Narrow"/>
                        <w:i/>
                        <w:color w:val="231F20"/>
                        <w:sz w:val="18"/>
                      </w:rPr>
                      <w:t>Kesehatan</w:t>
                    </w:r>
                    <w:r>
                      <w:rPr>
                        <w:rFonts w:ascii="Arial Narrow"/>
                        <w:i/>
                        <w:color w:val="231F20"/>
                        <w:spacing w:val="1"/>
                        <w:sz w:val="18"/>
                      </w:rPr>
                      <w:t xml:space="preserve"> </w:t>
                    </w:r>
                    <w:r>
                      <w:rPr>
                        <w:rFonts w:ascii="Arial Narrow"/>
                        <w:i/>
                        <w:color w:val="231F20"/>
                        <w:sz w:val="18"/>
                      </w:rPr>
                      <w:t>Masyarakat</w:t>
                    </w:r>
                    <w:r>
                      <w:rPr>
                        <w:rFonts w:ascii="Arial Narrow"/>
                        <w:i/>
                        <w:color w:val="231F20"/>
                        <w:spacing w:val="1"/>
                        <w:sz w:val="18"/>
                      </w:rPr>
                      <w:t xml:space="preserve"> </w:t>
                    </w:r>
                    <w:r>
                      <w:rPr>
                        <w:rFonts w:ascii="Arial Narrow"/>
                        <w:i/>
                        <w:color w:val="231F20"/>
                        <w:sz w:val="18"/>
                      </w:rPr>
                      <w:t>Nasional</w:t>
                    </w:r>
                    <w:r>
                      <w:rPr>
                        <w:rFonts w:ascii="Arial Narrow"/>
                        <w:i/>
                        <w:color w:val="231F20"/>
                        <w:spacing w:val="1"/>
                        <w:sz w:val="18"/>
                      </w:rPr>
                      <w:t xml:space="preserve"> </w:t>
                    </w:r>
                    <w:r>
                      <w:rPr>
                        <w:rFonts w:ascii="Arial Narrow"/>
                        <w:i/>
                        <w:color w:val="231F20"/>
                        <w:sz w:val="18"/>
                      </w:rPr>
                      <w:t>(National</w:t>
                    </w:r>
                    <w:r>
                      <w:rPr>
                        <w:rFonts w:ascii="Arial Narrow"/>
                        <w:i/>
                        <w:color w:val="231F20"/>
                        <w:spacing w:val="1"/>
                        <w:sz w:val="18"/>
                      </w:rPr>
                      <w:t xml:space="preserve"> </w:t>
                    </w:r>
                    <w:r>
                      <w:rPr>
                        <w:rFonts w:ascii="Arial Narrow"/>
                        <w:i/>
                        <w:color w:val="231F20"/>
                        <w:sz w:val="18"/>
                      </w:rPr>
                      <w:t>Public</w:t>
                    </w:r>
                    <w:r>
                      <w:rPr>
                        <w:rFonts w:ascii="Arial Narrow"/>
                        <w:i/>
                        <w:color w:val="231F20"/>
                        <w:spacing w:val="1"/>
                        <w:sz w:val="18"/>
                      </w:rPr>
                      <w:t xml:space="preserve"> </w:t>
                    </w:r>
                    <w:r>
                      <w:rPr>
                        <w:rFonts w:ascii="Arial Narrow"/>
                        <w:i/>
                        <w:color w:val="231F20"/>
                        <w:sz w:val="18"/>
                      </w:rPr>
                      <w:t>Health</w:t>
                    </w:r>
                    <w:r>
                      <w:rPr>
                        <w:rFonts w:ascii="Arial Narrow"/>
                        <w:i/>
                        <w:color w:val="231F20"/>
                        <w:spacing w:val="1"/>
                        <w:sz w:val="18"/>
                      </w:rPr>
                      <w:t xml:space="preserve"> </w:t>
                    </w:r>
                    <w:r>
                      <w:rPr>
                        <w:rFonts w:ascii="Arial Narrow"/>
                        <w:i/>
                        <w:color w:val="231F20"/>
                        <w:sz w:val="18"/>
                      </w:rPr>
                      <w:t>Journal)</w:t>
                    </w:r>
                    <w:r>
                      <w:rPr>
                        <w:rFonts w:ascii="Arial Narrow"/>
                        <w:color w:val="231F20"/>
                        <w:sz w:val="18"/>
                      </w:rPr>
                      <w:t>.</w:t>
                    </w:r>
                    <w:r>
                      <w:rPr>
                        <w:rFonts w:ascii="Arial Narrow"/>
                        <w:color w:val="231F20"/>
                        <w:spacing w:val="1"/>
                        <w:sz w:val="18"/>
                      </w:rPr>
                      <w:t xml:space="preserve"> </w:t>
                    </w:r>
                    <w:r>
                      <w:rPr>
                        <w:rFonts w:ascii="Arial Narrow"/>
                        <w:color w:val="231F20"/>
                        <w:sz w:val="18"/>
                      </w:rPr>
                      <w:t>202</w:t>
                    </w:r>
                    <w:r w:rsidR="006D6F9A">
                      <w:rPr>
                        <w:rFonts w:ascii="Arial Narrow"/>
                        <w:color w:val="231F20"/>
                        <w:sz w:val="18"/>
                      </w:rPr>
                      <w:t>4</w:t>
                    </w:r>
                    <w:r>
                      <w:rPr>
                        <w:rFonts w:ascii="Arial Narrow"/>
                        <w:color w:val="231F20"/>
                        <w:sz w:val="18"/>
                      </w:rPr>
                      <w:t>;</w:t>
                    </w:r>
                    <w:r>
                      <w:rPr>
                        <w:rFonts w:ascii="Arial Narrow"/>
                        <w:color w:val="231F20"/>
                        <w:spacing w:val="1"/>
                        <w:sz w:val="18"/>
                      </w:rPr>
                      <w:t xml:space="preserve"> </w:t>
                    </w:r>
                    <w:r>
                      <w:rPr>
                        <w:rFonts w:ascii="Arial Narrow"/>
                        <w:color w:val="231F20"/>
                        <w:sz w:val="18"/>
                      </w:rPr>
                      <w:t>1</w:t>
                    </w:r>
                    <w:r w:rsidR="006D6F9A">
                      <w:rPr>
                        <w:rFonts w:ascii="Arial Narrow"/>
                        <w:color w:val="231F20"/>
                        <w:sz w:val="18"/>
                      </w:rPr>
                      <w:t>9</w:t>
                    </w:r>
                    <w:r>
                      <w:rPr>
                        <w:rFonts w:ascii="Arial Narrow"/>
                        <w:color w:val="231F20"/>
                        <w:spacing w:val="1"/>
                        <w:sz w:val="18"/>
                      </w:rPr>
                      <w:t xml:space="preserve"> </w:t>
                    </w:r>
                    <w:r>
                      <w:rPr>
                        <w:rFonts w:ascii="Arial Narrow"/>
                        <w:color w:val="231F20"/>
                        <w:sz w:val="18"/>
                      </w:rPr>
                      <w:t>(</w:t>
                    </w:r>
                    <w:r w:rsidR="006D6F9A">
                      <w:rPr>
                        <w:rFonts w:ascii="Arial Narrow"/>
                        <w:color w:val="231F20"/>
                        <w:sz w:val="18"/>
                      </w:rPr>
                      <w:t>X</w:t>
                    </w:r>
                    <w:r>
                      <w:rPr>
                        <w:rFonts w:ascii="Arial Narrow"/>
                        <w:color w:val="231F20"/>
                        <w:sz w:val="18"/>
                      </w:rPr>
                      <w:t>):</w:t>
                    </w:r>
                    <w:r>
                      <w:rPr>
                        <w:rFonts w:ascii="Arial Narrow"/>
                        <w:color w:val="231F20"/>
                        <w:spacing w:val="1"/>
                        <w:sz w:val="18"/>
                      </w:rPr>
                      <w:t xml:space="preserve"> </w:t>
                    </w:r>
                    <w:r w:rsidR="006D6F9A">
                      <w:rPr>
                        <w:rFonts w:ascii="Arial Narrow"/>
                        <w:color w:val="231F20"/>
                        <w:sz w:val="18"/>
                      </w:rPr>
                      <w:t>XX-XX</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F5B2" w14:textId="77777777" w:rsidR="00164916" w:rsidRDefault="007E690D">
    <w:pPr>
      <w:pStyle w:val="BodyText"/>
      <w:spacing w:line="14" w:lineRule="auto"/>
    </w:pPr>
    <w:r>
      <w:rPr>
        <w:noProof/>
      </w:rPr>
      <mc:AlternateContent>
        <mc:Choice Requires="wps">
          <w:drawing>
            <wp:anchor distT="0" distB="0" distL="0" distR="0" simplePos="0" relativeHeight="251658240" behindDoc="1" locked="0" layoutInCell="1" allowOverlap="1" wp14:anchorId="21C2623A" wp14:editId="200E034B">
              <wp:simplePos x="0" y="0"/>
              <wp:positionH relativeFrom="page">
                <wp:posOffset>4714875</wp:posOffset>
              </wp:positionH>
              <wp:positionV relativeFrom="page">
                <wp:posOffset>357310</wp:posOffset>
              </wp:positionV>
              <wp:extent cx="2301047" cy="1828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047" cy="182880"/>
                      </a:xfrm>
                      <a:prstGeom prst="rect">
                        <a:avLst/>
                      </a:prstGeom>
                    </wps:spPr>
                    <wps:txbx>
                      <w:txbxContent>
                        <w:p w14:paraId="44AE6878" w14:textId="30332A27" w:rsidR="00164916" w:rsidRDefault="006D6F9A">
                          <w:pPr>
                            <w:spacing w:before="51"/>
                            <w:ind w:left="20"/>
                            <w:rPr>
                              <w:rFonts w:ascii="Arial Narrow"/>
                              <w:i/>
                              <w:sz w:val="18"/>
                            </w:rPr>
                          </w:pPr>
                          <w:r>
                            <w:rPr>
                              <w:rFonts w:ascii="Arial Narrow"/>
                              <w:b/>
                              <w:color w:val="231F20"/>
                              <w:sz w:val="18"/>
                            </w:rPr>
                            <w:t>Lastname of the first author,</w:t>
                          </w:r>
                          <w:r>
                            <w:rPr>
                              <w:rFonts w:ascii="Arial Narrow"/>
                              <w:b/>
                              <w:color w:val="231F20"/>
                              <w:spacing w:val="-1"/>
                              <w:sz w:val="18"/>
                            </w:rPr>
                            <w:t xml:space="preserve"> </w:t>
                          </w:r>
                          <w:r>
                            <w:rPr>
                              <w:rFonts w:ascii="Arial Narrow"/>
                              <w:b/>
                              <w:i/>
                              <w:color w:val="231F20"/>
                              <w:sz w:val="18"/>
                            </w:rPr>
                            <w:t>et</w:t>
                          </w:r>
                          <w:r>
                            <w:rPr>
                              <w:rFonts w:ascii="Arial Narrow"/>
                              <w:b/>
                              <w:i/>
                              <w:color w:val="231F20"/>
                              <w:spacing w:val="-1"/>
                              <w:sz w:val="18"/>
                            </w:rPr>
                            <w:t xml:space="preserve"> </w:t>
                          </w:r>
                          <w:r>
                            <w:rPr>
                              <w:rFonts w:ascii="Arial Narrow"/>
                              <w:b/>
                              <w:i/>
                              <w:color w:val="231F20"/>
                              <w:sz w:val="18"/>
                            </w:rPr>
                            <w:t>al.</w:t>
                          </w:r>
                          <w:r>
                            <w:rPr>
                              <w:rFonts w:ascii="Arial Narrow"/>
                              <w:b/>
                              <w:i/>
                              <w:color w:val="231F20"/>
                              <w:spacing w:val="-1"/>
                              <w:sz w:val="18"/>
                            </w:rPr>
                            <w:t xml:space="preserve"> </w:t>
                          </w:r>
                          <w:r>
                            <w:rPr>
                              <w:rFonts w:ascii="Arial Narrow"/>
                              <w:i/>
                              <w:color w:val="231F20"/>
                              <w:sz w:val="18"/>
                            </w:rPr>
                            <w:t>Title of the article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C2623A" id="_x0000_t202" coordsize="21600,21600" o:spt="202" path="m,l,21600r21600,l21600,xe">
              <v:stroke joinstyle="miter"/>
              <v:path gradientshapeok="t" o:connecttype="rect"/>
            </v:shapetype>
            <v:shape id="Textbox 8" o:spid="_x0000_s1028" type="#_x0000_t202" style="position:absolute;margin-left:371.25pt;margin-top:28.15pt;width:181.2pt;height:1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" filled="f" stroked="f">
              <v:textbox inset="0,0,0,0">
                <w:txbxContent>
                  <w:p w14:paraId="44AE6878" w14:textId="30332A27" w:rsidR="00164916" w:rsidRDefault="006D6F9A">
                    <w:pPr>
                      <w:spacing w:before="51"/>
                      <w:ind w:left="20"/>
                      <w:rPr>
                        <w:rFonts w:ascii="Arial Narrow"/>
                        <w:i/>
                        <w:sz w:val="18"/>
                      </w:rPr>
                    </w:pPr>
                    <w:r>
                      <w:rPr>
                        <w:rFonts w:ascii="Arial Narrow"/>
                        <w:b/>
                        <w:color w:val="231F20"/>
                        <w:sz w:val="18"/>
                      </w:rPr>
                      <w:t>Lastname of the first author,</w:t>
                    </w:r>
                    <w:r>
                      <w:rPr>
                        <w:rFonts w:ascii="Arial Narrow"/>
                        <w:b/>
                        <w:color w:val="231F20"/>
                        <w:spacing w:val="-1"/>
                        <w:sz w:val="18"/>
                      </w:rPr>
                      <w:t xml:space="preserve"> </w:t>
                    </w:r>
                    <w:r>
                      <w:rPr>
                        <w:rFonts w:ascii="Arial Narrow"/>
                        <w:b/>
                        <w:i/>
                        <w:color w:val="231F20"/>
                        <w:sz w:val="18"/>
                      </w:rPr>
                      <w:t>et</w:t>
                    </w:r>
                    <w:r>
                      <w:rPr>
                        <w:rFonts w:ascii="Arial Narrow"/>
                        <w:b/>
                        <w:i/>
                        <w:color w:val="231F20"/>
                        <w:spacing w:val="-1"/>
                        <w:sz w:val="18"/>
                      </w:rPr>
                      <w:t xml:space="preserve"> </w:t>
                    </w:r>
                    <w:r>
                      <w:rPr>
                        <w:rFonts w:ascii="Arial Narrow"/>
                        <w:b/>
                        <w:i/>
                        <w:color w:val="231F20"/>
                        <w:sz w:val="18"/>
                      </w:rPr>
                      <w:t>al.</w:t>
                    </w:r>
                    <w:r>
                      <w:rPr>
                        <w:rFonts w:ascii="Arial Narrow"/>
                        <w:b/>
                        <w:i/>
                        <w:color w:val="231F20"/>
                        <w:spacing w:val="-1"/>
                        <w:sz w:val="18"/>
                      </w:rPr>
                      <w:t xml:space="preserve"> </w:t>
                    </w:r>
                    <w:r>
                      <w:rPr>
                        <w:rFonts w:ascii="Arial Narrow"/>
                        <w:i/>
                        <w:color w:val="231F20"/>
                        <w:sz w:val="18"/>
                      </w:rPr>
                      <w:t>Title of the article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FE6"/>
    <w:multiLevelType w:val="multilevel"/>
    <w:tmpl w:val="056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E13F1"/>
    <w:multiLevelType w:val="hybridMultilevel"/>
    <w:tmpl w:val="550E58E2"/>
    <w:lvl w:ilvl="0" w:tplc="561C0574">
      <w:start w:val="1"/>
      <w:numFmt w:val="decimal"/>
      <w:lvlText w:val="%1."/>
      <w:lvlJc w:val="left"/>
      <w:pPr>
        <w:ind w:left="395" w:hanging="256"/>
      </w:pPr>
      <w:rPr>
        <w:rFonts w:ascii="Life" w:eastAsia="Life" w:hAnsi="Life" w:cs="Life" w:hint="default"/>
        <w:b w:val="0"/>
        <w:bCs w:val="0"/>
        <w:i w:val="0"/>
        <w:iCs w:val="0"/>
        <w:color w:val="231F20"/>
        <w:spacing w:val="0"/>
        <w:w w:val="100"/>
        <w:sz w:val="15"/>
        <w:szCs w:val="15"/>
        <w:lang w:val="en-US" w:eastAsia="en-US" w:bidi="ar-SA"/>
      </w:rPr>
    </w:lvl>
    <w:lvl w:ilvl="1" w:tplc="77209C96">
      <w:numFmt w:val="bullet"/>
      <w:lvlText w:val="•"/>
      <w:lvlJc w:val="left"/>
      <w:pPr>
        <w:ind w:left="1402" w:hanging="256"/>
      </w:pPr>
      <w:rPr>
        <w:rFonts w:hint="default"/>
        <w:lang w:val="en-US" w:eastAsia="en-US" w:bidi="ar-SA"/>
      </w:rPr>
    </w:lvl>
    <w:lvl w:ilvl="2" w:tplc="9530D2B8">
      <w:numFmt w:val="bullet"/>
      <w:lvlText w:val="•"/>
      <w:lvlJc w:val="left"/>
      <w:pPr>
        <w:ind w:left="2405" w:hanging="256"/>
      </w:pPr>
      <w:rPr>
        <w:rFonts w:hint="default"/>
        <w:lang w:val="en-US" w:eastAsia="en-US" w:bidi="ar-SA"/>
      </w:rPr>
    </w:lvl>
    <w:lvl w:ilvl="3" w:tplc="8C760838">
      <w:numFmt w:val="bullet"/>
      <w:lvlText w:val="•"/>
      <w:lvlJc w:val="left"/>
      <w:pPr>
        <w:ind w:left="3407" w:hanging="256"/>
      </w:pPr>
      <w:rPr>
        <w:rFonts w:hint="default"/>
        <w:lang w:val="en-US" w:eastAsia="en-US" w:bidi="ar-SA"/>
      </w:rPr>
    </w:lvl>
    <w:lvl w:ilvl="4" w:tplc="9F82C18E">
      <w:numFmt w:val="bullet"/>
      <w:lvlText w:val="•"/>
      <w:lvlJc w:val="left"/>
      <w:pPr>
        <w:ind w:left="4410" w:hanging="256"/>
      </w:pPr>
      <w:rPr>
        <w:rFonts w:hint="default"/>
        <w:lang w:val="en-US" w:eastAsia="en-US" w:bidi="ar-SA"/>
      </w:rPr>
    </w:lvl>
    <w:lvl w:ilvl="5" w:tplc="07DA97E6">
      <w:numFmt w:val="bullet"/>
      <w:lvlText w:val="•"/>
      <w:lvlJc w:val="left"/>
      <w:pPr>
        <w:ind w:left="5412" w:hanging="256"/>
      </w:pPr>
      <w:rPr>
        <w:rFonts w:hint="default"/>
        <w:lang w:val="en-US" w:eastAsia="en-US" w:bidi="ar-SA"/>
      </w:rPr>
    </w:lvl>
    <w:lvl w:ilvl="6" w:tplc="EC56329A">
      <w:numFmt w:val="bullet"/>
      <w:lvlText w:val="•"/>
      <w:lvlJc w:val="left"/>
      <w:pPr>
        <w:ind w:left="6415" w:hanging="256"/>
      </w:pPr>
      <w:rPr>
        <w:rFonts w:hint="default"/>
        <w:lang w:val="en-US" w:eastAsia="en-US" w:bidi="ar-SA"/>
      </w:rPr>
    </w:lvl>
    <w:lvl w:ilvl="7" w:tplc="8A58EA44">
      <w:numFmt w:val="bullet"/>
      <w:lvlText w:val="•"/>
      <w:lvlJc w:val="left"/>
      <w:pPr>
        <w:ind w:left="7417" w:hanging="256"/>
      </w:pPr>
      <w:rPr>
        <w:rFonts w:hint="default"/>
        <w:lang w:val="en-US" w:eastAsia="en-US" w:bidi="ar-SA"/>
      </w:rPr>
    </w:lvl>
    <w:lvl w:ilvl="8" w:tplc="FB92B1A0">
      <w:numFmt w:val="bullet"/>
      <w:lvlText w:val="•"/>
      <w:lvlJc w:val="left"/>
      <w:pPr>
        <w:ind w:left="8420" w:hanging="256"/>
      </w:pPr>
      <w:rPr>
        <w:rFonts w:hint="default"/>
        <w:lang w:val="en-US" w:eastAsia="en-US" w:bidi="ar-SA"/>
      </w:rPr>
    </w:lvl>
  </w:abstractNum>
  <w:abstractNum w:abstractNumId="2" w15:restartNumberingAfterBreak="0">
    <w:nsid w:val="1C0E69B3"/>
    <w:multiLevelType w:val="hybridMultilevel"/>
    <w:tmpl w:val="501C983A"/>
    <w:lvl w:ilvl="0" w:tplc="6308ADE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121538340">
    <w:abstractNumId w:val="1"/>
  </w:num>
  <w:num w:numId="2" w16cid:durableId="715083409">
    <w:abstractNumId w:val="0"/>
  </w:num>
  <w:num w:numId="3" w16cid:durableId="932473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NzQ0MTExNzAwsDBX0lEKTi0uzszPAykwqgUATSOEzSwAAAA="/>
  </w:docVars>
  <w:rsids>
    <w:rsidRoot w:val="00164916"/>
    <w:rsid w:val="000051B6"/>
    <w:rsid w:val="000112F3"/>
    <w:rsid w:val="000424BB"/>
    <w:rsid w:val="00060539"/>
    <w:rsid w:val="000866C6"/>
    <w:rsid w:val="00091454"/>
    <w:rsid w:val="000B334F"/>
    <w:rsid w:val="000D1CA2"/>
    <w:rsid w:val="000F0A21"/>
    <w:rsid w:val="00103C99"/>
    <w:rsid w:val="001305FC"/>
    <w:rsid w:val="00164916"/>
    <w:rsid w:val="00197058"/>
    <w:rsid w:val="001E7870"/>
    <w:rsid w:val="00202929"/>
    <w:rsid w:val="00243FBA"/>
    <w:rsid w:val="00255E48"/>
    <w:rsid w:val="00267FDC"/>
    <w:rsid w:val="0028394A"/>
    <w:rsid w:val="00293C1D"/>
    <w:rsid w:val="002B2ABA"/>
    <w:rsid w:val="002E068A"/>
    <w:rsid w:val="002E6166"/>
    <w:rsid w:val="002F2802"/>
    <w:rsid w:val="002F482D"/>
    <w:rsid w:val="00313F4D"/>
    <w:rsid w:val="00360904"/>
    <w:rsid w:val="00363DF7"/>
    <w:rsid w:val="0038794A"/>
    <w:rsid w:val="003A25B4"/>
    <w:rsid w:val="003C49F9"/>
    <w:rsid w:val="00427C8F"/>
    <w:rsid w:val="00450094"/>
    <w:rsid w:val="0048573C"/>
    <w:rsid w:val="004B3A85"/>
    <w:rsid w:val="004C5C0B"/>
    <w:rsid w:val="004E68CF"/>
    <w:rsid w:val="004E6CBD"/>
    <w:rsid w:val="0050631D"/>
    <w:rsid w:val="00516953"/>
    <w:rsid w:val="00517517"/>
    <w:rsid w:val="005711AA"/>
    <w:rsid w:val="00585FC1"/>
    <w:rsid w:val="005A270D"/>
    <w:rsid w:val="005E64FA"/>
    <w:rsid w:val="005F358F"/>
    <w:rsid w:val="00620210"/>
    <w:rsid w:val="006242B5"/>
    <w:rsid w:val="00645718"/>
    <w:rsid w:val="006C1B1F"/>
    <w:rsid w:val="006D6F9A"/>
    <w:rsid w:val="006E6EA3"/>
    <w:rsid w:val="007022B9"/>
    <w:rsid w:val="00713277"/>
    <w:rsid w:val="00751EB9"/>
    <w:rsid w:val="007A3B11"/>
    <w:rsid w:val="007C42AF"/>
    <w:rsid w:val="007C6379"/>
    <w:rsid w:val="007E690D"/>
    <w:rsid w:val="00835AEC"/>
    <w:rsid w:val="00836006"/>
    <w:rsid w:val="0084667C"/>
    <w:rsid w:val="008C2050"/>
    <w:rsid w:val="008E0AA9"/>
    <w:rsid w:val="009772DD"/>
    <w:rsid w:val="009926D8"/>
    <w:rsid w:val="009A4E55"/>
    <w:rsid w:val="00A1037E"/>
    <w:rsid w:val="00A1054C"/>
    <w:rsid w:val="00A117A8"/>
    <w:rsid w:val="00A32A0D"/>
    <w:rsid w:val="00A41740"/>
    <w:rsid w:val="00A93F36"/>
    <w:rsid w:val="00AA7BD2"/>
    <w:rsid w:val="00AD0F84"/>
    <w:rsid w:val="00AD6385"/>
    <w:rsid w:val="00AE1856"/>
    <w:rsid w:val="00B1704A"/>
    <w:rsid w:val="00B317DC"/>
    <w:rsid w:val="00B44145"/>
    <w:rsid w:val="00B47D7D"/>
    <w:rsid w:val="00B51D6F"/>
    <w:rsid w:val="00B70AC1"/>
    <w:rsid w:val="00BD66C2"/>
    <w:rsid w:val="00C0007F"/>
    <w:rsid w:val="00C106C4"/>
    <w:rsid w:val="00C33E11"/>
    <w:rsid w:val="00C55017"/>
    <w:rsid w:val="00C74FF7"/>
    <w:rsid w:val="00CA1ADC"/>
    <w:rsid w:val="00CB1345"/>
    <w:rsid w:val="00CC3C3B"/>
    <w:rsid w:val="00CF3C45"/>
    <w:rsid w:val="00D77B94"/>
    <w:rsid w:val="00D859EA"/>
    <w:rsid w:val="00DB3306"/>
    <w:rsid w:val="00DC538C"/>
    <w:rsid w:val="00DD6DF0"/>
    <w:rsid w:val="00E07829"/>
    <w:rsid w:val="00E132B3"/>
    <w:rsid w:val="00E34740"/>
    <w:rsid w:val="00E60505"/>
    <w:rsid w:val="00EA044B"/>
    <w:rsid w:val="00EA0A50"/>
    <w:rsid w:val="00EB6D45"/>
    <w:rsid w:val="00EB7603"/>
    <w:rsid w:val="00EC3D01"/>
    <w:rsid w:val="00ED5F3B"/>
    <w:rsid w:val="00F03931"/>
    <w:rsid w:val="00F2660C"/>
    <w:rsid w:val="00F46B5C"/>
    <w:rsid w:val="00F50301"/>
    <w:rsid w:val="00F6074E"/>
    <w:rsid w:val="00FB68BF"/>
    <w:rsid w:val="00FD5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C197A"/>
  <w15:docId w15:val="{DB4960D4-76B2-4C42-A343-9F4C4AD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fe" w:eastAsia="Life" w:hAnsi="Life" w:cs="Life"/>
    </w:rPr>
  </w:style>
  <w:style w:type="paragraph" w:styleId="Heading1">
    <w:name w:val="heading 1"/>
    <w:basedOn w:val="Normal"/>
    <w:uiPriority w:val="9"/>
    <w:qFormat/>
    <w:pPr>
      <w:spacing w:line="240" w:lineRule="exact"/>
      <w:ind w:left="130"/>
      <w:outlineLvl w:val="0"/>
    </w:pPr>
    <w:rPr>
      <w:rFonts w:ascii="Life LT Std Roman" w:eastAsia="Life LT Std Roman" w:hAnsi="Life LT Std Roman" w:cs="Life LT Std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02"/>
      <w:ind w:left="130" w:right="147"/>
    </w:pPr>
    <w:rPr>
      <w:rFonts w:ascii="Life LT Std Roman" w:eastAsia="Life LT Std Roman" w:hAnsi="Life LT Std Roman" w:cs="Life LT Std Roman"/>
      <w:b/>
      <w:bCs/>
      <w:sz w:val="36"/>
      <w:szCs w:val="36"/>
    </w:rPr>
  </w:style>
  <w:style w:type="paragraph" w:styleId="ListParagraph">
    <w:name w:val="List Paragraph"/>
    <w:basedOn w:val="Normal"/>
    <w:uiPriority w:val="1"/>
    <w:qFormat/>
    <w:pPr>
      <w:ind w:left="395" w:hanging="256"/>
    </w:pPr>
  </w:style>
  <w:style w:type="paragraph" w:customStyle="1" w:styleId="TableParagraph">
    <w:name w:val="Table Paragraph"/>
    <w:basedOn w:val="Normal"/>
    <w:uiPriority w:val="1"/>
    <w:qFormat/>
    <w:pPr>
      <w:spacing w:before="5" w:line="155" w:lineRule="exact"/>
    </w:pPr>
  </w:style>
  <w:style w:type="character" w:styleId="Hyperlink">
    <w:name w:val="Hyperlink"/>
    <w:basedOn w:val="DefaultParagraphFont"/>
    <w:uiPriority w:val="99"/>
    <w:unhideWhenUsed/>
    <w:rsid w:val="00B317DC"/>
    <w:rPr>
      <w:color w:val="0000FF" w:themeColor="hyperlink"/>
      <w:u w:val="single"/>
    </w:rPr>
  </w:style>
  <w:style w:type="character" w:styleId="UnresolvedMention">
    <w:name w:val="Unresolved Mention"/>
    <w:basedOn w:val="DefaultParagraphFont"/>
    <w:uiPriority w:val="99"/>
    <w:semiHidden/>
    <w:unhideWhenUsed/>
    <w:rsid w:val="00B317DC"/>
    <w:rPr>
      <w:color w:val="605E5C"/>
      <w:shd w:val="clear" w:color="auto" w:fill="E1DFDD"/>
    </w:rPr>
  </w:style>
  <w:style w:type="paragraph" w:styleId="NormalWeb">
    <w:name w:val="Normal (Web)"/>
    <w:basedOn w:val="Normal"/>
    <w:uiPriority w:val="99"/>
    <w:unhideWhenUsed/>
    <w:rsid w:val="005F358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26D8"/>
    <w:pPr>
      <w:tabs>
        <w:tab w:val="center" w:pos="4680"/>
        <w:tab w:val="right" w:pos="9360"/>
      </w:tabs>
    </w:pPr>
  </w:style>
  <w:style w:type="character" w:customStyle="1" w:styleId="HeaderChar">
    <w:name w:val="Header Char"/>
    <w:basedOn w:val="DefaultParagraphFont"/>
    <w:link w:val="Header"/>
    <w:uiPriority w:val="99"/>
    <w:rsid w:val="009926D8"/>
    <w:rPr>
      <w:rFonts w:ascii="Life" w:eastAsia="Life" w:hAnsi="Life" w:cs="Life"/>
    </w:rPr>
  </w:style>
  <w:style w:type="paragraph" w:styleId="Footer">
    <w:name w:val="footer"/>
    <w:basedOn w:val="Normal"/>
    <w:link w:val="FooterChar"/>
    <w:uiPriority w:val="99"/>
    <w:unhideWhenUsed/>
    <w:rsid w:val="009926D8"/>
    <w:pPr>
      <w:tabs>
        <w:tab w:val="center" w:pos="4680"/>
        <w:tab w:val="right" w:pos="9360"/>
      </w:tabs>
    </w:pPr>
  </w:style>
  <w:style w:type="character" w:customStyle="1" w:styleId="FooterChar">
    <w:name w:val="Footer Char"/>
    <w:basedOn w:val="DefaultParagraphFont"/>
    <w:link w:val="Footer"/>
    <w:uiPriority w:val="99"/>
    <w:rsid w:val="009926D8"/>
    <w:rPr>
      <w:rFonts w:ascii="Life" w:eastAsia="Life" w:hAnsi="Life" w:cs="Life"/>
    </w:rPr>
  </w:style>
  <w:style w:type="table" w:styleId="TableGrid">
    <w:name w:val="Table Grid"/>
    <w:basedOn w:val="TableNormal"/>
    <w:uiPriority w:val="39"/>
    <w:rsid w:val="00E6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2E068A"/>
    <w:pPr>
      <w:adjustRightInd w:val="0"/>
      <w:spacing w:line="360" w:lineRule="auto"/>
      <w:ind w:firstLine="340"/>
      <w:jc w:val="both"/>
      <w:textAlignment w:val="baseline"/>
    </w:pPr>
    <w:rPr>
      <w:rFonts w:ascii="Times New Roman" w:eastAsia="BatangChe" w:hAnsi="Times New Roman" w:cs="Times New Roman"/>
      <w:sz w:val="24"/>
      <w:szCs w:val="20"/>
      <w:lang w:eastAsia="ko-KR"/>
    </w:rPr>
  </w:style>
  <w:style w:type="character" w:styleId="Strong">
    <w:name w:val="Strong"/>
    <w:basedOn w:val="DefaultParagraphFont"/>
    <w:uiPriority w:val="22"/>
    <w:qFormat/>
    <w:rsid w:val="009A4E55"/>
    <w:rPr>
      <w:b/>
      <w:bCs/>
    </w:rPr>
  </w:style>
  <w:style w:type="paragraph" w:customStyle="1" w:styleId="NoSpacing1">
    <w:name w:val="No Spacing1"/>
    <w:uiPriority w:val="1"/>
    <w:qFormat/>
    <w:rsid w:val="00EB6D45"/>
    <w:pPr>
      <w:widowControl/>
      <w:autoSpaceDE/>
      <w:autoSpaceDN/>
    </w:pPr>
    <w:rPr>
      <w:rFonts w:ascii="Calibri" w:eastAsia="SimSun" w:hAnsi="Calibri" w:cs="Times New Roman"/>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757">
      <w:bodyDiv w:val="1"/>
      <w:marLeft w:val="0"/>
      <w:marRight w:val="0"/>
      <w:marTop w:val="0"/>
      <w:marBottom w:val="0"/>
      <w:divBdr>
        <w:top w:val="none" w:sz="0" w:space="0" w:color="auto"/>
        <w:left w:val="none" w:sz="0" w:space="0" w:color="auto"/>
        <w:bottom w:val="none" w:sz="0" w:space="0" w:color="auto"/>
        <w:right w:val="none" w:sz="0" w:space="0" w:color="auto"/>
      </w:divBdr>
    </w:div>
    <w:div w:id="303970558">
      <w:bodyDiv w:val="1"/>
      <w:marLeft w:val="0"/>
      <w:marRight w:val="0"/>
      <w:marTop w:val="0"/>
      <w:marBottom w:val="0"/>
      <w:divBdr>
        <w:top w:val="none" w:sz="0" w:space="0" w:color="auto"/>
        <w:left w:val="none" w:sz="0" w:space="0" w:color="auto"/>
        <w:bottom w:val="none" w:sz="0" w:space="0" w:color="auto"/>
        <w:right w:val="none" w:sz="0" w:space="0" w:color="auto"/>
      </w:divBdr>
    </w:div>
    <w:div w:id="454759016">
      <w:bodyDiv w:val="1"/>
      <w:marLeft w:val="0"/>
      <w:marRight w:val="0"/>
      <w:marTop w:val="0"/>
      <w:marBottom w:val="0"/>
      <w:divBdr>
        <w:top w:val="none" w:sz="0" w:space="0" w:color="auto"/>
        <w:left w:val="none" w:sz="0" w:space="0" w:color="auto"/>
        <w:bottom w:val="none" w:sz="0" w:space="0" w:color="auto"/>
        <w:right w:val="none" w:sz="0" w:space="0" w:color="auto"/>
      </w:divBdr>
    </w:div>
    <w:div w:id="542064759">
      <w:bodyDiv w:val="1"/>
      <w:marLeft w:val="0"/>
      <w:marRight w:val="0"/>
      <w:marTop w:val="0"/>
      <w:marBottom w:val="0"/>
      <w:divBdr>
        <w:top w:val="none" w:sz="0" w:space="0" w:color="auto"/>
        <w:left w:val="none" w:sz="0" w:space="0" w:color="auto"/>
        <w:bottom w:val="none" w:sz="0" w:space="0" w:color="auto"/>
        <w:right w:val="none" w:sz="0" w:space="0" w:color="auto"/>
      </w:divBdr>
    </w:div>
    <w:div w:id="628051616">
      <w:bodyDiv w:val="1"/>
      <w:marLeft w:val="0"/>
      <w:marRight w:val="0"/>
      <w:marTop w:val="0"/>
      <w:marBottom w:val="0"/>
      <w:divBdr>
        <w:top w:val="none" w:sz="0" w:space="0" w:color="auto"/>
        <w:left w:val="none" w:sz="0" w:space="0" w:color="auto"/>
        <w:bottom w:val="none" w:sz="0" w:space="0" w:color="auto"/>
        <w:right w:val="none" w:sz="0" w:space="0" w:color="auto"/>
      </w:divBdr>
    </w:div>
    <w:div w:id="671447906">
      <w:bodyDiv w:val="1"/>
      <w:marLeft w:val="0"/>
      <w:marRight w:val="0"/>
      <w:marTop w:val="0"/>
      <w:marBottom w:val="0"/>
      <w:divBdr>
        <w:top w:val="none" w:sz="0" w:space="0" w:color="auto"/>
        <w:left w:val="none" w:sz="0" w:space="0" w:color="auto"/>
        <w:bottom w:val="none" w:sz="0" w:space="0" w:color="auto"/>
        <w:right w:val="none" w:sz="0" w:space="0" w:color="auto"/>
      </w:divBdr>
    </w:div>
    <w:div w:id="790781427">
      <w:bodyDiv w:val="1"/>
      <w:marLeft w:val="0"/>
      <w:marRight w:val="0"/>
      <w:marTop w:val="0"/>
      <w:marBottom w:val="0"/>
      <w:divBdr>
        <w:top w:val="none" w:sz="0" w:space="0" w:color="auto"/>
        <w:left w:val="none" w:sz="0" w:space="0" w:color="auto"/>
        <w:bottom w:val="none" w:sz="0" w:space="0" w:color="auto"/>
        <w:right w:val="none" w:sz="0" w:space="0" w:color="auto"/>
      </w:divBdr>
    </w:div>
    <w:div w:id="1240140583">
      <w:bodyDiv w:val="1"/>
      <w:marLeft w:val="0"/>
      <w:marRight w:val="0"/>
      <w:marTop w:val="0"/>
      <w:marBottom w:val="0"/>
      <w:divBdr>
        <w:top w:val="none" w:sz="0" w:space="0" w:color="auto"/>
        <w:left w:val="none" w:sz="0" w:space="0" w:color="auto"/>
        <w:bottom w:val="none" w:sz="0" w:space="0" w:color="auto"/>
        <w:right w:val="none" w:sz="0" w:space="0" w:color="auto"/>
      </w:divBdr>
    </w:div>
    <w:div w:id="212376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item/19-10-2022-who-highlights-high-cost-of-physical-inactivity-in-first-ever-global-re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scholarhub.ui.ac.id/kes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C811-AFB4-4B00-8D55-9DE12155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10836</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L/O/KESMAS no.1 Juli '06</vt:lpstr>
    </vt:vector>
  </TitlesOfParts>
  <Company/>
  <LinksUpToDate>false</LinksUpToDate>
  <CharactersWithSpaces>72463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L/O/KESMAS no.1 Juli '06</dc:title>
  <dc:creator>Kesmas Kesmas</dc:creator>
  <cp:lastModifiedBy>Veriani Aprilia</cp:lastModifiedBy>
  <cp:revision>2</cp:revision>
  <dcterms:created xsi:type="dcterms:W3CDTF">2026-02-28T06:26:00Z</dcterms:created>
  <dcterms:modified xsi:type="dcterms:W3CDTF">2026-02-28T06:26:00Z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QuarkXPress(R) 14.0</vt:lpwstr>
  </property>
  <property fmtid="{D5CDD505-2E9C-101B-9397-08002B2CF9AE}" pid="4" name="LastSaved">
    <vt:filetime>2024-01-11T00:00:00Z</vt:filetime>
  </property>
  <property fmtid="{D5CDD505-2E9C-101B-9397-08002B2CF9AE}" pid="5" name="Producer">
    <vt:lpwstr>QuarkXPress(R) 14.0</vt:lpwstr>
  </property>
  <property fmtid="{D5CDD505-2E9C-101B-9397-08002B2CF9AE}" pid="6" name="XPressPrivate">
    <vt:lpwstr>%%DocumentCustomColors: (Red) %%DocumentProcessColors: Cyan Magenta Yellow Black %%RGBCustomColor: 1 0 0 (Red) %%EndComments</vt:lpwstr>
  </property>
  <property fmtid="{D5CDD505-2E9C-101B-9397-08002B2CF9AE}" pid="7" name="Mendeley Document_1">
    <vt:lpwstr>True</vt:lpwstr>
  </property>
  <property fmtid="{D5CDD505-2E9C-101B-9397-08002B2CF9AE}" pid="8" name="Mendeley Unique User Id_1">
    <vt:lpwstr>ff001022-d98e-3547-9c44-2b75fcece094</vt:lpwstr>
  </property>
  <property fmtid="{D5CDD505-2E9C-101B-9397-08002B2CF9AE}" pid="9" name="Mendeley Citation Style_1">
    <vt:lpwstr>http://www.zotero.org/styles/apa</vt:lpwstr>
  </property>
  <property fmtid="{D5CDD505-2E9C-101B-9397-08002B2CF9AE}" pid="10" name="Mendeley Recent Style Id 0_1">
    <vt:lpwstr>http://www.zotero.org/styles/apa</vt:lpwstr>
  </property>
  <property fmtid="{D5CDD505-2E9C-101B-9397-08002B2CF9AE}" pid="11" name="Mendeley Recent Style Name 0_1">
    <vt:lpwstr>American Psychological Association 7th edition</vt:lpwstr>
  </property>
  <property fmtid="{D5CDD505-2E9C-101B-9397-08002B2CF9AE}" pid="12" name="Mendeley Recent Style Id 1_1">
    <vt:lpwstr>http://www.zotero.org/styles/elsevier-vancouver</vt:lpwstr>
  </property>
  <property fmtid="{D5CDD505-2E9C-101B-9397-08002B2CF9AE}" pid="13" name="Mendeley Recent Style Name 1_1">
    <vt:lpwstr>Elsevier - Vancouver</vt:lpwstr>
  </property>
  <property fmtid="{D5CDD505-2E9C-101B-9397-08002B2CF9AE}" pid="14" name="Mendeley Recent Style Id 2_1">
    <vt:lpwstr>http://www.zotero.org/styles/ieee</vt:lpwstr>
  </property>
  <property fmtid="{D5CDD505-2E9C-101B-9397-08002B2CF9AE}" pid="15" name="Mendeley Recent Style Name 2_1">
    <vt:lpwstr>IEEE</vt:lpwstr>
  </property>
  <property fmtid="{D5CDD505-2E9C-101B-9397-08002B2CF9AE}" pid="16" name="Mendeley Recent Style Id 3_1">
    <vt:lpwstr>http://www.zotero.org/styles/modern-humanities-research-association</vt:lpwstr>
  </property>
  <property fmtid="{D5CDD505-2E9C-101B-9397-08002B2CF9AE}" pid="17" name="Mendeley Recent Style Name 3_1">
    <vt:lpwstr>Modern Humanities Research Association 3rd edition (note with bibliography)</vt:lpwstr>
  </property>
  <property fmtid="{D5CDD505-2E9C-101B-9397-08002B2CF9AE}" pid="18" name="Mendeley Recent Style Id 4_1">
    <vt:lpwstr>http://www.zotero.org/styles/nature</vt:lpwstr>
  </property>
  <property fmtid="{D5CDD505-2E9C-101B-9397-08002B2CF9AE}" pid="19" name="Mendeley Recent Style Name 4_1">
    <vt:lpwstr>Nature</vt:lpwstr>
  </property>
  <property fmtid="{D5CDD505-2E9C-101B-9397-08002B2CF9AE}" pid="20" name="Mendeley Recent Style Id 5_1">
    <vt:lpwstr>http://www.zotero.org/styles/sage-vancouver</vt:lpwstr>
  </property>
  <property fmtid="{D5CDD505-2E9C-101B-9397-08002B2CF9AE}" pid="21" name="Mendeley Recent Style Name 5_1">
    <vt:lpwstr>SAGE - Vancouver</vt:lpwstr>
  </property>
  <property fmtid="{D5CDD505-2E9C-101B-9397-08002B2CF9AE}" pid="22" name="Mendeley Recent Style Id 6_1">
    <vt:lpwstr>https://csl.mendeley.com/styles/25144951/sage-vancouver-4</vt:lpwstr>
  </property>
  <property fmtid="{D5CDD505-2E9C-101B-9397-08002B2CF9AE}" pid="23" name="Mendeley Recent Style Name 6_1">
    <vt:lpwstr>SAGE - Vancouver - herni dwi herawati</vt:lpwstr>
  </property>
  <property fmtid="{D5CDD505-2E9C-101B-9397-08002B2CF9AE}" pid="24" name="Mendeley Recent Style Id 7_1">
    <vt:lpwstr>http://csl.mendeley.com/styles/25144951/sage-vancouver-4</vt:lpwstr>
  </property>
  <property fmtid="{D5CDD505-2E9C-101B-9397-08002B2CF9AE}" pid="25" name="Mendeley Recent Style Name 7_1">
    <vt:lpwstr>SAGE - Vancouver - herni dwi herawati</vt:lpwstr>
  </property>
  <property fmtid="{D5CDD505-2E9C-101B-9397-08002B2CF9AE}" pid="26" name="Mendeley Recent Style Id 8_1">
    <vt:lpwstr>http://www.zotero.org/styles/springer-vancouver</vt:lpwstr>
  </property>
  <property fmtid="{D5CDD505-2E9C-101B-9397-08002B2CF9AE}" pid="27" name="Mendeley Recent Style Name 8_1">
    <vt:lpwstr>Springer - Vancouver</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